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ITQAN</w:t>
      </w:r>
    </w:p>
    <w:p>
      <w:pPr>
        <w:pStyle w:val="Title"/>
      </w:pPr>
      <w:r>
        <w:t>Industrial Engineering Lean Six Sigma and Project Management Services</w:t>
      </w:r>
    </w:p>
    <w:p>
      <w:pPr>
        <w:pStyle w:val="Subtitle"/>
      </w:pPr>
      <w:r>
        <w:t>Detailed service catalogue for industrial and service organizations</w:t>
      </w:r>
    </w:p>
    <w:p>
      <w:r>
        <w:t>Prepared for client discussions and scope development</w:t>
        <w:br/>
        <w:t>Muhammad Ahad Gill  |  Industrial Engineer  |  PMP®  |  ASQ CSSBB</w:t>
        <w:br/>
        <w:t>October 2026</w:t>
      </w:r>
    </w:p>
    <w:p>
      <w:pPr>
        <w:pStyle w:val="Heading2"/>
      </w:pPr>
      <w:r>
        <w:t>Purpose of this catalogue</w:t>
      </w:r>
    </w:p>
    <w:p>
      <w:r>
        <w:t>ITQAN offers structured support to improve productivity, quality, delivery and project execution. This catalogue explains twelve established service categories, the work included in each engagement, the outputs clients receive and the evidence used to evaluate results.</w:t>
      </w:r>
    </w:p>
    <w:p>
      <w:r>
        <w:t>Services are selected from published Industrial Engineering, operational excellence and project management offerings. Package names, scope limits and timeframes are proposed ITQAN configurations. They are not ASQ or PMI approved packages, competitor quotations or guarantees of performance.</w:t>
      </w:r>
    </w:p>
    <w:p>
      <w:pPr>
        <w:pStyle w:val="Heading2"/>
      </w:pPr>
      <w:r>
        <w:t>Engagement principle</w:t>
      </w:r>
    </w:p>
    <w:p>
      <w:r>
        <w:t>Every assignment begins with an agreed business problem and scope. We validate the baseline, investigate causes, implement approved changes and establish controls with a named client process owner. Targets are agreed after assessment.</w:t>
      </w:r>
    </w:p>
    <w:p>
      <w:r>
        <w:br w:type="page"/>
      </w:r>
    </w:p>
    <w:p>
      <w:pPr>
        <w:pStyle w:val="Heading1"/>
      </w:pPr>
      <w:r>
        <w:t>Service directory</w:t>
      </w:r>
    </w:p>
    <w:tbl>
      <w:tblPr>
        <w:tblW w:type="auto" w:w="0"/>
        <w:tblLayout w:type="fixed"/>
        <w:tblLook w:firstColumn="1" w:firstRow="1" w:lastColumn="0" w:lastRow="0" w:noHBand="0" w:noVBand="1" w:val="04A0"/>
      </w:tblPr>
      <w:tblGrid>
        <w:gridCol w:w="3360"/>
        <w:gridCol w:w="3360"/>
        <w:gridCol w:w="3360"/>
      </w:tblGrid>
      <w:tr>
        <w:trPr>
          <w:tblHeader/>
        </w:trPr>
        <w:tc>
          <w:tcPr>
            <w:tcW w:type="dxa" w:w="3360"/>
            <w:tcBorders>
              <w:top w:val="single" w:sz="4" w:color="D9D9D9"/>
              <w:left w:val="single" w:sz="4" w:color="D9D9D9"/>
              <w:bottom w:val="single" w:sz="4" w:color="D9D9D9"/>
              <w:right w:val="single" w:sz="4" w:color="D9D9D9"/>
            </w:tcBorders>
            <w:shd w:fill="17354A"/>
          </w:tcPr>
          <w:p>
            <w:r>
              <w:rPr>
                <w:b/>
                <w:color w:val="FFFFFF"/>
                <w:sz w:val="18"/>
              </w:rPr>
              <w:t>Code</w:t>
            </w:r>
          </w:p>
        </w:tc>
        <w:tc>
          <w:tcPr>
            <w:tcW w:type="dxa" w:w="3360"/>
            <w:tcBorders>
              <w:top w:val="single" w:sz="4" w:color="D9D9D9"/>
              <w:left w:val="single" w:sz="4" w:color="D9D9D9"/>
              <w:bottom w:val="single" w:sz="4" w:color="D9D9D9"/>
              <w:right w:val="single" w:sz="4" w:color="D9D9D9"/>
            </w:tcBorders>
            <w:shd w:fill="17354A"/>
          </w:tcPr>
          <w:p>
            <w:r>
              <w:rPr>
                <w:b/>
                <w:color w:val="FFFFFF"/>
                <w:sz w:val="18"/>
              </w:rPr>
              <w:t>Service</w:t>
            </w:r>
          </w:p>
        </w:tc>
        <w:tc>
          <w:tcPr>
            <w:tcW w:type="dxa" w:w="3360"/>
            <w:tcBorders>
              <w:top w:val="single" w:sz="4" w:color="D9D9D9"/>
              <w:left w:val="single" w:sz="4" w:color="D9D9D9"/>
              <w:bottom w:val="single" w:sz="4" w:color="D9D9D9"/>
              <w:right w:val="single" w:sz="4" w:color="D9D9D9"/>
            </w:tcBorders>
            <w:shd w:fill="17354A"/>
          </w:tcPr>
          <w:p>
            <w:r>
              <w:rPr>
                <w:b/>
                <w:color w:val="FFFFFF"/>
                <w:sz w:val="18"/>
              </w:rPr>
              <w:t>Pilot window</w:t>
            </w:r>
          </w:p>
        </w:tc>
      </w:tr>
      <w:tr>
        <w:tc>
          <w:tcPr>
            <w:tcW w:type="dxa" w:w="3360"/>
            <w:tcBorders>
              <w:top w:val="single" w:sz="4" w:color="D9D9D9"/>
              <w:left w:val="single" w:sz="4" w:color="D9D9D9"/>
              <w:bottom w:val="single" w:sz="4" w:color="D9D9D9"/>
              <w:right w:val="single" w:sz="4" w:color="D9D9D9"/>
            </w:tcBorders>
            <w:shd w:fill="F1F4F6"/>
          </w:tcPr>
          <w:p>
            <w:r>
              <w:rPr>
                <w:b w:val="0"/>
                <w:color w:val="000000"/>
                <w:sz w:val="18"/>
              </w:rPr>
              <w:t>S01</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Work measurement and productivity improvement</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4–8 weeks</w:t>
            </w:r>
          </w:p>
        </w:tc>
      </w:tr>
      <w:tr>
        <w:tc>
          <w:tcPr>
            <w:tcW w:type="dxa" w:w="3360"/>
            <w:tcBorders>
              <w:top w:val="single" w:sz="4" w:color="D9D9D9"/>
              <w:left w:val="single" w:sz="4" w:color="D9D9D9"/>
              <w:bottom w:val="single" w:sz="4" w:color="D9D9D9"/>
              <w:right w:val="single" w:sz="4" w:color="D9D9D9"/>
            </w:tcBorders>
            <w:shd w:fill="FFFFFF"/>
          </w:tcPr>
          <w:p>
            <w:r>
              <w:rPr>
                <w:b w:val="0"/>
                <w:color w:val="000000"/>
                <w:sz w:val="18"/>
              </w:rPr>
              <w:t>S02</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Facility layout and material flow improvement</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4–8 weeks</w:t>
            </w:r>
          </w:p>
        </w:tc>
      </w:tr>
      <w:tr>
        <w:tc>
          <w:tcPr>
            <w:tcW w:type="dxa" w:w="3360"/>
            <w:tcBorders>
              <w:top w:val="single" w:sz="4" w:color="D9D9D9"/>
              <w:left w:val="single" w:sz="4" w:color="D9D9D9"/>
              <w:bottom w:val="single" w:sz="4" w:color="D9D9D9"/>
              <w:right w:val="single" w:sz="4" w:color="D9D9D9"/>
            </w:tcBorders>
            <w:shd w:fill="F1F4F6"/>
          </w:tcPr>
          <w:p>
            <w:r>
              <w:rPr>
                <w:b w:val="0"/>
                <w:color w:val="000000"/>
                <w:sz w:val="18"/>
              </w:rPr>
              <w:t>S03</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Lean operational assessment and roadmap</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1–3 weeks</w:t>
            </w:r>
          </w:p>
        </w:tc>
      </w:tr>
      <w:tr>
        <w:tc>
          <w:tcPr>
            <w:tcW w:type="dxa" w:w="3360"/>
            <w:tcBorders>
              <w:top w:val="single" w:sz="4" w:color="D9D9D9"/>
              <w:left w:val="single" w:sz="4" w:color="D9D9D9"/>
              <w:bottom w:val="single" w:sz="4" w:color="D9D9D9"/>
              <w:right w:val="single" w:sz="4" w:color="D9D9D9"/>
            </w:tcBorders>
            <w:shd w:fill="FFFFFF"/>
          </w:tcPr>
          <w:p>
            <w:r>
              <w:rPr>
                <w:b w:val="0"/>
                <w:color w:val="000000"/>
                <w:sz w:val="18"/>
              </w:rPr>
              <w:t>S04</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Lean flow and service process improvement</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6–10 weeks</w:t>
            </w:r>
          </w:p>
        </w:tc>
      </w:tr>
      <w:tr>
        <w:tc>
          <w:tcPr>
            <w:tcW w:type="dxa" w:w="3360"/>
            <w:tcBorders>
              <w:top w:val="single" w:sz="4" w:color="D9D9D9"/>
              <w:left w:val="single" w:sz="4" w:color="D9D9D9"/>
              <w:bottom w:val="single" w:sz="4" w:color="D9D9D9"/>
              <w:right w:val="single" w:sz="4" w:color="D9D9D9"/>
            </w:tcBorders>
            <w:shd w:fill="F1F4F6"/>
          </w:tcPr>
          <w:p>
            <w:r>
              <w:rPr>
                <w:b w:val="0"/>
                <w:color w:val="000000"/>
                <w:sz w:val="18"/>
              </w:rPr>
              <w:t>S05</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Six Sigma defect and variation reduction</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8–16 weeks</w:t>
            </w:r>
          </w:p>
        </w:tc>
      </w:tr>
      <w:tr>
        <w:tc>
          <w:tcPr>
            <w:tcW w:type="dxa" w:w="3360"/>
            <w:tcBorders>
              <w:top w:val="single" w:sz="4" w:color="D9D9D9"/>
              <w:left w:val="single" w:sz="4" w:color="D9D9D9"/>
              <w:bottom w:val="single" w:sz="4" w:color="D9D9D9"/>
              <w:right w:val="single" w:sz="4" w:color="D9D9D9"/>
            </w:tcBorders>
            <w:shd w:fill="FFFFFF"/>
          </w:tcPr>
          <w:p>
            <w:r>
              <w:rPr>
                <w:b w:val="0"/>
                <w:color w:val="000000"/>
                <w:sz w:val="18"/>
              </w:rPr>
              <w:t>S06</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Equipment productivity and changeover reduction</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6–10 weeks</w:t>
            </w:r>
          </w:p>
        </w:tc>
      </w:tr>
      <w:tr>
        <w:tc>
          <w:tcPr>
            <w:tcW w:type="dxa" w:w="3360"/>
            <w:tcBorders>
              <w:top w:val="single" w:sz="4" w:color="D9D9D9"/>
              <w:left w:val="single" w:sz="4" w:color="D9D9D9"/>
              <w:bottom w:val="single" w:sz="4" w:color="D9D9D9"/>
              <w:right w:val="single" w:sz="4" w:color="D9D9D9"/>
            </w:tcBorders>
            <w:shd w:fill="F1F4F6"/>
          </w:tcPr>
          <w:p>
            <w:r>
              <w:rPr>
                <w:b w:val="0"/>
                <w:color w:val="000000"/>
                <w:sz w:val="18"/>
              </w:rPr>
              <w:t>S07</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Inventory warehouse and replenishment improvement</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6–12 weeks</w:t>
            </w:r>
          </w:p>
        </w:tc>
      </w:tr>
      <w:tr>
        <w:tc>
          <w:tcPr>
            <w:tcW w:type="dxa" w:w="3360"/>
            <w:tcBorders>
              <w:top w:val="single" w:sz="4" w:color="D9D9D9"/>
              <w:left w:val="single" w:sz="4" w:color="D9D9D9"/>
              <w:bottom w:val="single" w:sz="4" w:color="D9D9D9"/>
              <w:right w:val="single" w:sz="4" w:color="D9D9D9"/>
            </w:tcBorders>
            <w:shd w:fill="FFFFFF"/>
          </w:tcPr>
          <w:p>
            <w:r>
              <w:rPr>
                <w:b w:val="0"/>
                <w:color w:val="000000"/>
                <w:sz w:val="18"/>
              </w:rPr>
              <w:t>S08</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Standard work SOPs and daily management</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4–8 weeks</w:t>
            </w:r>
          </w:p>
        </w:tc>
      </w:tr>
      <w:tr>
        <w:tc>
          <w:tcPr>
            <w:tcW w:type="dxa" w:w="3360"/>
            <w:tcBorders>
              <w:top w:val="single" w:sz="4" w:color="D9D9D9"/>
              <w:left w:val="single" w:sz="4" w:color="D9D9D9"/>
              <w:bottom w:val="single" w:sz="4" w:color="D9D9D9"/>
              <w:right w:val="single" w:sz="4" w:color="D9D9D9"/>
            </w:tcBorders>
            <w:shd w:fill="F1F4F6"/>
          </w:tcPr>
          <w:p>
            <w:r>
              <w:rPr>
                <w:b w:val="0"/>
                <w:color w:val="000000"/>
                <w:sz w:val="18"/>
              </w:rPr>
              <w:t>S09</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Project planning scheduling and controls</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3–6 weeks setup</w:t>
            </w:r>
          </w:p>
        </w:tc>
      </w:tr>
      <w:tr>
        <w:tc>
          <w:tcPr>
            <w:tcW w:type="dxa" w:w="3360"/>
            <w:tcBorders>
              <w:top w:val="single" w:sz="4" w:color="D9D9D9"/>
              <w:left w:val="single" w:sz="4" w:color="D9D9D9"/>
              <w:bottom w:val="single" w:sz="4" w:color="D9D9D9"/>
              <w:right w:val="single" w:sz="4" w:color="D9D9D9"/>
            </w:tcBorders>
            <w:shd w:fill="FFFFFF"/>
          </w:tcPr>
          <w:p>
            <w:r>
              <w:rPr>
                <w:b w:val="0"/>
                <w:color w:val="000000"/>
                <w:sz w:val="18"/>
              </w:rPr>
              <w:t>S10</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Project review and recovery</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2–4 weeks planning</w:t>
            </w:r>
          </w:p>
        </w:tc>
      </w:tr>
      <w:tr>
        <w:tc>
          <w:tcPr>
            <w:tcW w:type="dxa" w:w="3360"/>
            <w:tcBorders>
              <w:top w:val="single" w:sz="4" w:color="D9D9D9"/>
              <w:left w:val="single" w:sz="4" w:color="D9D9D9"/>
              <w:bottom w:val="single" w:sz="4" w:color="D9D9D9"/>
              <w:right w:val="single" w:sz="4" w:color="D9D9D9"/>
            </w:tcBorders>
            <w:shd w:fill="F1F4F6"/>
          </w:tcPr>
          <w:p>
            <w:r>
              <w:rPr>
                <w:b w:val="0"/>
                <w:color w:val="000000"/>
                <w:sz w:val="18"/>
              </w:rPr>
              <w:t>S11</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PMO setup and managed project support</w:t>
            </w:r>
          </w:p>
        </w:tc>
        <w:tc>
          <w:tcPr>
            <w:tcW w:type="dxa" w:w="3360"/>
            <w:tcBorders>
              <w:top w:val="single" w:sz="4" w:color="D9D9D9"/>
              <w:left w:val="single" w:sz="4" w:color="D9D9D9"/>
              <w:bottom w:val="single" w:sz="4" w:color="D9D9D9"/>
              <w:right w:val="single" w:sz="4" w:color="D9D9D9"/>
            </w:tcBorders>
            <w:shd w:fill="F1F4F6"/>
          </w:tcPr>
          <w:p>
            <w:r>
              <w:rPr>
                <w:b w:val="0"/>
                <w:color w:val="000000"/>
                <w:sz w:val="18"/>
              </w:rPr>
              <w:t>8–12 weeks setup</w:t>
            </w:r>
          </w:p>
        </w:tc>
      </w:tr>
      <w:tr>
        <w:tc>
          <w:tcPr>
            <w:tcW w:type="dxa" w:w="3360"/>
            <w:tcBorders>
              <w:top w:val="single" w:sz="4" w:color="D9D9D9"/>
              <w:left w:val="single" w:sz="4" w:color="D9D9D9"/>
              <w:bottom w:val="single" w:sz="4" w:color="D9D9D9"/>
              <w:right w:val="single" w:sz="4" w:color="D9D9D9"/>
            </w:tcBorders>
            <w:shd w:fill="FFFFFF"/>
          </w:tcPr>
          <w:p>
            <w:r>
              <w:rPr>
                <w:b w:val="0"/>
                <w:color w:val="000000"/>
                <w:sz w:val="18"/>
              </w:rPr>
              <w:t>S12</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Training and improvement project coaching</w:t>
            </w:r>
          </w:p>
        </w:tc>
        <w:tc>
          <w:tcPr>
            <w:tcW w:type="dxa" w:w="3360"/>
            <w:tcBorders>
              <w:top w:val="single" w:sz="4" w:color="D9D9D9"/>
              <w:left w:val="single" w:sz="4" w:color="D9D9D9"/>
              <w:bottom w:val="single" w:sz="4" w:color="D9D9D9"/>
              <w:right w:val="single" w:sz="4" w:color="D9D9D9"/>
            </w:tcBorders>
            <w:shd w:fill="FFFFFF"/>
          </w:tcPr>
          <w:p>
            <w:r>
              <w:rPr>
                <w:b w:val="0"/>
                <w:color w:val="000000"/>
                <w:sz w:val="18"/>
              </w:rPr>
              <w:t>Course plus coaching</w:t>
            </w:r>
          </w:p>
        </w:tc>
      </w:tr>
    </w:tbl>
    <w:p>
      <w:pPr>
        <w:pStyle w:val="Heading2"/>
      </w:pPr>
      <w:r>
        <w:t>How to select a service</w:t>
      </w:r>
    </w:p>
    <w:p>
      <w:r>
        <w:t>Start with S03 when the priority problem is unclear. Use S01, S04 or S05 for a defined operational constraint, delay or defect. Select S09 for a project requiring a credible plan, S10 for a troubled project and S11 for a portfolio requiring consistent governance. Training supports implementation across the catalogue.</w:t>
      </w:r>
    </w:p>
    <w:p>
      <w:r>
        <w:t>Timeframes are elapsed estimates for bounded pilots. Data collection, approvals, operating cycles and client resources may extend them. The signed proposal defines final scope and acceptance criteria.</w:t>
      </w:r>
    </w:p>
    <w:p>
      <w:r>
        <w:br w:type="page"/>
      </w:r>
    </w:p>
    <w:p>
      <w:pPr>
        <w:pStyle w:val="Heading1"/>
      </w:pPr>
      <w:r>
        <w:t>01 Work measurement and productivity improvement</w:t>
      </w:r>
    </w:p>
    <w:p>
      <w:r>
        <w:t>Service S01  |  IE  |  Proposed pilot 4–8 weeks</w:t>
      </w:r>
    </w:p>
    <w:p>
      <w:r>
        <w:t>Establish reliable work methods, capacity and staffing assumptions, then improve good output using the available resources.</w:t>
      </w:r>
    </w:p>
    <w:p>
      <w:pPr>
        <w:pStyle w:val="Heading2"/>
      </w:pPr>
      <w:r>
        <w:t>Client need and standard scope</w:t>
      </w:r>
    </w:p>
    <w:p>
      <w:r>
        <w:t>Factories with low output or overtime; administrative and service teams with backlogs or uneven workloads. One production line or service team, selected operations, one agreed shift pattern and a defined product or case mix.</w:t>
      </w:r>
    </w:p>
    <w:p>
      <w:pPr>
        <w:pStyle w:val="Heading2"/>
      </w:pPr>
      <w:r>
        <w:t>Delivery activities</w:t>
      </w:r>
    </w:p>
    <w:p>
      <w:pPr>
        <w:pStyle w:val="ListBullet"/>
      </w:pPr>
      <w:r>
        <w:t>Agree demand, operating conditions and output definitions; review existing standards and staffing.</w:t>
      </w:r>
    </w:p>
    <w:p>
      <w:pPr>
        <w:pStyle w:val="ListBullet"/>
      </w:pPr>
      <w:r>
        <w:t>Observe task sequences and collect time-study or work-sampling data, including interruptions and rework.</w:t>
      </w:r>
    </w:p>
    <w:p>
      <w:pPr>
        <w:pStyle w:val="ListBullet"/>
      </w:pPr>
      <w:r>
        <w:t>Improve the work method before calculating standards; document performance ratings and allowances when used.</w:t>
      </w:r>
    </w:p>
    <w:p>
      <w:pPr>
        <w:pStyle w:val="ListBullet"/>
      </w:pPr>
      <w:r>
        <w:t>Model bottlenecks, capacity and staffing scenarios; trial revised task allocation and methods.</w:t>
      </w:r>
    </w:p>
    <w:p>
      <w:pPr>
        <w:pStyle w:val="ListBullet"/>
      </w:pPr>
      <w:r>
        <w:t>Compare pilot results under comparable conditions; train supervisors and transfer the monitoring routine.</w:t>
      </w:r>
    </w:p>
    <w:p>
      <w:pPr>
        <w:pStyle w:val="Heading2"/>
      </w:pPr>
      <w:r>
        <w:t>Client deliverables</w:t>
      </w:r>
    </w:p>
    <w:p>
      <w:pPr>
        <w:pStyle w:val="ListBullet"/>
      </w:pPr>
      <w:r>
        <w:t>Time-study dataset and methods report</w:t>
      </w:r>
    </w:p>
    <w:p>
      <w:pPr>
        <w:pStyle w:val="ListBullet"/>
      </w:pPr>
      <w:r>
        <w:t>Capacity and manpower model with assumptions</w:t>
      </w:r>
    </w:p>
    <w:p>
      <w:pPr>
        <w:pStyle w:val="ListBullet"/>
      </w:pPr>
      <w:r>
        <w:t>Line or workload balance and bottleneck analysis</w:t>
      </w:r>
    </w:p>
    <w:p>
      <w:pPr>
        <w:pStyle w:val="ListBullet"/>
      </w:pPr>
      <w:r>
        <w:t>Standard-work sheets, pilot report and control dashboard</w:t>
      </w:r>
    </w:p>
    <w:p>
      <w:pPr>
        <w:pStyle w:val="Heading2"/>
      </w:pPr>
      <w:r>
        <w:t>Measurement and acceptance</w:t>
      </w:r>
    </w:p>
    <w:p>
      <w:r>
        <w:t>Measures: Good output per paid labor hour; throughput; overtime; backlog; first-pass quality.</w:t>
      </w:r>
    </w:p>
    <w:p>
      <w:r>
        <w:t>Completion: Client approves study assumptions and standard methods; pilot results are reviewed; a process owner accepts monitoring responsibilities.</w:t>
      </w:r>
    </w:p>
    <w:p>
      <w:pPr>
        <w:pStyle w:val="Heading2"/>
      </w:pPr>
      <w:r>
        <w:t>Client inputs and application</w:t>
      </w:r>
    </w:p>
    <w:p>
      <w:r>
        <w:t>Demand, staffing and shift records; output and rework history; access to representative work; supervisor and employee participation.</w:t>
      </w:r>
    </w:p>
    <w:p>
      <w:r>
        <w:t>Illustrative application: A garment line can rebalance work between stations. An invoice team can redistribute tasks and remove repeat handling. These are application examples, not claimed ITQAN results.</w:t>
      </w:r>
    </w:p>
    <w:p>
      <w:pPr>
        <w:pStyle w:val="Heading2"/>
      </w:pPr>
      <w:r>
        <w:t>Scope conditions and benchmark</w:t>
      </w:r>
    </w:p>
    <w:p>
      <w:r>
        <w:t>Predetermined motion-time systems require relevant competence and any applicable licensing. Capacity released is reported separately from realized cash savings.</w:t>
      </w:r>
    </w:p>
    <w:p>
      <w:r>
        <w:t>Published service references: R1 R2. See the benchmark register. Timelines and scope are ITQAN proposals.</w:t>
      </w:r>
    </w:p>
    <w:p>
      <w:r>
        <w:br w:type="page"/>
      </w:r>
    </w:p>
    <w:p>
      <w:pPr>
        <w:pStyle w:val="Heading1"/>
      </w:pPr>
      <w:r>
        <w:t>02 Facility layout and material flow improvement</w:t>
      </w:r>
    </w:p>
    <w:p>
      <w:r>
        <w:t>Service S02  |  IE  |  Proposed pilot 4–8 weeks</w:t>
      </w:r>
    </w:p>
    <w:p>
      <w:r>
        <w:t>Improve the arrangement of workstations, storage and movement to support efficient operations.</w:t>
      </w:r>
    </w:p>
    <w:p>
      <w:pPr>
        <w:pStyle w:val="Heading2"/>
      </w:pPr>
      <w:r>
        <w:t>Client need and standard scope</w:t>
      </w:r>
    </w:p>
    <w:p>
      <w:r>
        <w:t>Manufacturing sites, warehouses and processing facilities facing congestion, excess handling or expansion. One department, warehouse zone or production area; operational layouts at an agreed level of detail.</w:t>
      </w:r>
    </w:p>
    <w:p>
      <w:pPr>
        <w:pStyle w:val="Heading2"/>
      </w:pPr>
      <w:r>
        <w:t>Delivery activities</w:t>
      </w:r>
    </w:p>
    <w:p>
      <w:pPr>
        <w:pStyle w:val="ListBullet"/>
      </w:pPr>
      <w:r>
        <w:t>Document space, equipment footprints, access requirements and operational constraints.</w:t>
      </w:r>
    </w:p>
    <w:p>
      <w:pPr>
        <w:pStyle w:val="ListBullet"/>
      </w:pPr>
      <w:r>
        <w:t>Map material routes and measure distances, frequency, handling and intermediate storage.</w:t>
      </w:r>
    </w:p>
    <w:p>
      <w:pPr>
        <w:pStyle w:val="ListBullet"/>
      </w:pPr>
      <w:r>
        <w:t>Develop alternative block layouts using flow and adjacency requirements.</w:t>
      </w:r>
    </w:p>
    <w:p>
      <w:pPr>
        <w:pStyle w:val="ListBullet"/>
      </w:pPr>
      <w:r>
        <w:t>Compare options for movement, capacity, disruption, investment and maintainability.</w:t>
      </w:r>
    </w:p>
    <w:p>
      <w:pPr>
        <w:pStyle w:val="ListBullet"/>
      </w:pPr>
      <w:r>
        <w:t>Support phased relocation planning and review post-change flow.</w:t>
      </w:r>
    </w:p>
    <w:p>
      <w:pPr>
        <w:pStyle w:val="Heading2"/>
      </w:pPr>
      <w:r>
        <w:t>Client deliverables</w:t>
      </w:r>
    </w:p>
    <w:p>
      <w:pPr>
        <w:pStyle w:val="ListBullet"/>
      </w:pPr>
      <w:r>
        <w:t>Current layout and material-flow map</w:t>
      </w:r>
    </w:p>
    <w:p>
      <w:pPr>
        <w:pStyle w:val="ListBullet"/>
      </w:pPr>
      <w:r>
        <w:t>Movement and handling analysis</w:t>
      </w:r>
    </w:p>
    <w:p>
      <w:pPr>
        <w:pStyle w:val="ListBullet"/>
      </w:pPr>
      <w:r>
        <w:t>Alternative layouts and selection matrix</w:t>
      </w:r>
    </w:p>
    <w:p>
      <w:pPr>
        <w:pStyle w:val="ListBullet"/>
      </w:pPr>
      <w:r>
        <w:t>Preferred operational layout and phased implementation plan</w:t>
      </w:r>
    </w:p>
    <w:p>
      <w:pPr>
        <w:pStyle w:val="Heading2"/>
      </w:pPr>
      <w:r>
        <w:t>Measurement and acceptance</w:t>
      </w:r>
    </w:p>
    <w:p>
      <w:r>
        <w:t>Measures: Travel distance per unit or order; handling time; work in progress; usable space; throughput.</w:t>
      </w:r>
    </w:p>
    <w:p>
      <w:r>
        <w:t>Completion: Client selects an option, technical constraints are reviewed and implementation responsibilities are agreed.</w:t>
      </w:r>
    </w:p>
    <w:p>
      <w:pPr>
        <w:pStyle w:val="Heading2"/>
      </w:pPr>
      <w:r>
        <w:t>Client inputs and application</w:t>
      </w:r>
    </w:p>
    <w:p>
      <w:r>
        <w:t>Accurate dimensions, equipment data, movement volumes, access constraints and designated technical reviewers.</w:t>
      </w:r>
    </w:p>
    <w:p>
      <w:r>
        <w:t>Illustrative application: A store can relocate fast-moving items nearer dispatch. A factory can reduce repeated movement between disconnected process steps.</w:t>
      </w:r>
    </w:p>
    <w:p>
      <w:pPr>
        <w:pStyle w:val="Heading2"/>
      </w:pPr>
      <w:r>
        <w:t>Scope conditions and benchmark</w:t>
      </w:r>
    </w:p>
    <w:p>
      <w:r>
        <w:t>Building, fire, structural, electrical and detailed conveyor engineering are separately scoped with qualified specialists.</w:t>
      </w:r>
    </w:p>
    <w:p>
      <w:r>
        <w:t>Published service references: R1 R2. See the benchmark register. Timelines and scope are ITQAN proposals.</w:t>
      </w:r>
    </w:p>
    <w:p>
      <w:r>
        <w:br w:type="page"/>
      </w:r>
    </w:p>
    <w:p>
      <w:pPr>
        <w:pStyle w:val="Heading1"/>
      </w:pPr>
      <w:r>
        <w:t>03 Lean operational assessment and roadmap</w:t>
      </w:r>
    </w:p>
    <w:p>
      <w:r>
        <w:t>Service S03  |  IE and Lean  |  Proposed pilot 1–3 weeks</w:t>
      </w:r>
    </w:p>
    <w:p>
      <w:r>
        <w:t>Identify the most important operational losses and establish a practical implementation sequence.</w:t>
      </w:r>
    </w:p>
    <w:p>
      <w:pPr>
        <w:pStyle w:val="Heading2"/>
      </w:pPr>
      <w:r>
        <w:t>Client need and standard scope</w:t>
      </w:r>
    </w:p>
    <w:p>
      <w:r>
        <w:t>Owners and operations leaders facing competing problems, uncertain priorities or weak performance visibility. One site and one principal value stream; agreed interviews, observations and available data review.</w:t>
      </w:r>
    </w:p>
    <w:p>
      <w:pPr>
        <w:pStyle w:val="Heading2"/>
      </w:pPr>
      <w:r>
        <w:t>Delivery activities</w:t>
      </w:r>
    </w:p>
    <w:p>
      <w:pPr>
        <w:pStyle w:val="ListBullet"/>
      </w:pPr>
      <w:r>
        <w:t>Agree business questions, assessment boundaries and sponsor priorities.</w:t>
      </w:r>
    </w:p>
    <w:p>
      <w:pPr>
        <w:pStyle w:val="ListBullet"/>
      </w:pPr>
      <w:r>
        <w:t>Observe work and interview process owners and frontline staff.</w:t>
      </w:r>
    </w:p>
    <w:p>
      <w:pPr>
        <w:pStyle w:val="ListBullet"/>
      </w:pPr>
      <w:r>
        <w:t>Validate key data definitions; map the current process and performance.</w:t>
      </w:r>
    </w:p>
    <w:p>
      <w:pPr>
        <w:pStyle w:val="ListBullet"/>
      </w:pPr>
      <w:r>
        <w:t>Identify constraints, waiting, rework, movement and management-system gaps.</w:t>
      </w:r>
    </w:p>
    <w:p>
      <w:pPr>
        <w:pStyle w:val="ListBullet"/>
      </w:pPr>
      <w:r>
        <w:t>Prioritize opportunities by evidence, expected benefit, effort, risk and readiness.</w:t>
      </w:r>
    </w:p>
    <w:p>
      <w:pPr>
        <w:pStyle w:val="Heading2"/>
      </w:pPr>
      <w:r>
        <w:t>Client deliverables</w:t>
      </w:r>
    </w:p>
    <w:p>
      <w:pPr>
        <w:pStyle w:val="ListBullet"/>
      </w:pPr>
      <w:r>
        <w:t>Executive diagnostic report and current-state map</w:t>
      </w:r>
    </w:p>
    <w:p>
      <w:pPr>
        <w:pStyle w:val="ListBullet"/>
      </w:pPr>
      <w:r>
        <w:t>Baseline KPI sheet and data-gap register</w:t>
      </w:r>
    </w:p>
    <w:p>
      <w:pPr>
        <w:pStyle w:val="ListBullet"/>
      </w:pPr>
      <w:r>
        <w:t>Prioritized opportunity register with benefit assumptions</w:t>
      </w:r>
    </w:p>
    <w:p>
      <w:pPr>
        <w:pStyle w:val="ListBullet"/>
      </w:pPr>
      <w:r>
        <w:t>Thirty, sixty and ninety day implementation roadmap</w:t>
      </w:r>
    </w:p>
    <w:p>
      <w:pPr>
        <w:pStyle w:val="Heading2"/>
      </w:pPr>
      <w:r>
        <w:t>Measurement and acceptance</w:t>
      </w:r>
    </w:p>
    <w:p>
      <w:r>
        <w:t>Measures: Baseline completeness; management agreement on priorities; assigned owners; approved next-stage projects.</w:t>
      </w:r>
    </w:p>
    <w:p>
      <w:r>
        <w:t>Completion: Management reviews the evidence and approves a prioritized roadmap with owners and dependencies.</w:t>
      </w:r>
    </w:p>
    <w:p>
      <w:pPr>
        <w:pStyle w:val="Heading2"/>
      </w:pPr>
      <w:r>
        <w:t>Client inputs and application</w:t>
      </w:r>
    </w:p>
    <w:p>
      <w:r>
        <w:t>Sponsor access, operating records, representative site access and staff availability.</w:t>
      </w:r>
    </w:p>
    <w:p>
      <w:r>
        <w:t>Illustrative application: Before purchasing extra equipment, assess whether downtime, materials, scheduling or rework explains missed deliveries.</w:t>
      </w:r>
    </w:p>
    <w:p>
      <w:pPr>
        <w:pStyle w:val="Heading2"/>
      </w:pPr>
      <w:r>
        <w:t>Scope conditions and benchmark</w:t>
      </w:r>
    </w:p>
    <w:p>
      <w:r>
        <w:t>Opportunity values are estimates until tested. This package does not include implementation of every identified opportunity.</w:t>
      </w:r>
    </w:p>
    <w:p>
      <w:r>
        <w:t>Published service references: R3. See the benchmark register. Timelines and scope are ITQAN proposals.</w:t>
      </w:r>
    </w:p>
    <w:p>
      <w:r>
        <w:br w:type="page"/>
      </w:r>
    </w:p>
    <w:p>
      <w:pPr>
        <w:pStyle w:val="Heading1"/>
      </w:pPr>
      <w:r>
        <w:t>04 Lean flow and service process improvement</w:t>
      </w:r>
    </w:p>
    <w:p>
      <w:r>
        <w:t>Service S04  |  IE and Lean  |  Proposed pilot 6–10 weeks</w:t>
      </w:r>
    </w:p>
    <w:p>
      <w:r>
        <w:t>Reduce end-to-end waiting and improve reliability from request to successful completion.</w:t>
      </w:r>
    </w:p>
    <w:p>
      <w:pPr>
        <w:pStyle w:val="Heading2"/>
      </w:pPr>
      <w:r>
        <w:t>Client need and standard scope</w:t>
      </w:r>
    </w:p>
    <w:p>
      <w:r>
        <w:t>Order processing, logistics, finance administration, customer support, public services and manufacturing workflows. One workflow with defined start, finish, case types and participating teams.</w:t>
      </w:r>
    </w:p>
    <w:p>
      <w:pPr>
        <w:pStyle w:val="Heading2"/>
      </w:pPr>
      <w:r>
        <w:t>Delivery activities</w:t>
      </w:r>
    </w:p>
    <w:p>
      <w:pPr>
        <w:pStyle w:val="ListBullet"/>
      </w:pPr>
      <w:r>
        <w:t>Define customer requirements and operational start and completion timestamps.</w:t>
      </w:r>
    </w:p>
    <w:p>
      <w:pPr>
        <w:pStyle w:val="ListBullet"/>
      </w:pPr>
      <w:r>
        <w:t>Measure processing, waiting, handoffs, rework and backlog age.</w:t>
      </w:r>
    </w:p>
    <w:p>
      <w:pPr>
        <w:pStyle w:val="ListBullet"/>
      </w:pPr>
      <w:r>
        <w:t>Analyze arrivals, completion capacity, bottlenecks and approval delays.</w:t>
      </w:r>
    </w:p>
    <w:p>
      <w:pPr>
        <w:pStyle w:val="ListBullet"/>
      </w:pPr>
      <w:r>
        <w:t>Redesign workflow, decision authority, batching and prioritization rules.</w:t>
      </w:r>
    </w:p>
    <w:p>
      <w:pPr>
        <w:pStyle w:val="ListBullet"/>
      </w:pPr>
      <w:r>
        <w:t>Pilot changes; track typical and slow-case performance; establish escalation.</w:t>
      </w:r>
    </w:p>
    <w:p>
      <w:pPr>
        <w:pStyle w:val="Heading2"/>
      </w:pPr>
      <w:r>
        <w:t>Client deliverables</w:t>
      </w:r>
    </w:p>
    <w:p>
      <w:pPr>
        <w:pStyle w:val="ListBullet"/>
      </w:pPr>
      <w:r>
        <w:t>Current and future-state workflow</w:t>
      </w:r>
    </w:p>
    <w:p>
      <w:pPr>
        <w:pStyle w:val="ListBullet"/>
      </w:pPr>
      <w:r>
        <w:t>Queue and delay analysis</w:t>
      </w:r>
    </w:p>
    <w:p>
      <w:pPr>
        <w:pStyle w:val="ListBullet"/>
      </w:pPr>
      <w:r>
        <w:t>Responsibilities and service-level definitions</w:t>
      </w:r>
    </w:p>
    <w:p>
      <w:pPr>
        <w:pStyle w:val="ListBullet"/>
      </w:pPr>
      <w:r>
        <w:t>Pilot results, escalation rules and performance dashboard</w:t>
      </w:r>
    </w:p>
    <w:p>
      <w:pPr>
        <w:pStyle w:val="Heading2"/>
      </w:pPr>
      <w:r>
        <w:t>Measurement and acceptance</w:t>
      </w:r>
    </w:p>
    <w:p>
      <w:r>
        <w:t>Measures: Median and 90th-percentile lead time; on-time completion; aged backlog; first-time-complete rate.</w:t>
      </w:r>
    </w:p>
    <w:p>
      <w:r>
        <w:t>Completion: Revised workflow is approved and trialed; required checks remain effective; owner accepts service monitoring.</w:t>
      </w:r>
    </w:p>
    <w:p>
      <w:pPr>
        <w:pStyle w:val="Heading2"/>
      </w:pPr>
      <w:r>
        <w:t>Client inputs and application</w:t>
      </w:r>
    </w:p>
    <w:p>
      <w:r>
        <w:t>Case-level timestamps where available, arrival volumes, case mix, service commitments and process-owner support.</w:t>
      </w:r>
    </w:p>
    <w:p>
      <w:r>
        <w:t>Illustrative application: Application-to-decision or quotation-to-order can be improved by reducing incomplete inputs and queues between approvals.</w:t>
      </w:r>
    </w:p>
    <w:p>
      <w:pPr>
        <w:pStyle w:val="Heading2"/>
      </w:pPr>
      <w:r>
        <w:t>Scope conditions and benchmark</w:t>
      </w:r>
    </w:p>
    <w:p>
      <w:r>
        <w:t>Clinical or regulated decisions remain with authorized owners. Software development or system integration is a separate scope.</w:t>
      </w:r>
    </w:p>
    <w:p>
      <w:r>
        <w:t>Published service references: R4 R5. See the benchmark register. Timelines and scope are ITQAN proposals.</w:t>
      </w:r>
    </w:p>
    <w:p>
      <w:r>
        <w:br w:type="page"/>
      </w:r>
    </w:p>
    <w:p>
      <w:pPr>
        <w:pStyle w:val="Heading1"/>
      </w:pPr>
      <w:r>
        <w:t>05 Six Sigma defect and variation reduction</w:t>
      </w:r>
    </w:p>
    <w:p>
      <w:r>
        <w:t>Service S05  |  CSSBB  |  Proposed pilot 8–16 weeks</w:t>
      </w:r>
    </w:p>
    <w:p>
      <w:r>
        <w:t>Resolve a recurring measurable defect or variation problem through a documented DMAIC project.</w:t>
      </w:r>
    </w:p>
    <w:p>
      <w:pPr>
        <w:pStyle w:val="Heading2"/>
      </w:pPr>
      <w:r>
        <w:t>Client need and standard scope</w:t>
      </w:r>
    </w:p>
    <w:p>
      <w:r>
        <w:t>Manufacturers with scrap and rework; service organizations with transaction errors and repeat complaints. One defect category, quality characteristic or process family with measurable customer requirements.</w:t>
      </w:r>
    </w:p>
    <w:p>
      <w:pPr>
        <w:pStyle w:val="Heading2"/>
      </w:pPr>
      <w:r>
        <w:t>Delivery activities</w:t>
      </w:r>
    </w:p>
    <w:p>
      <w:pPr>
        <w:pStyle w:val="ListBullet"/>
      </w:pPr>
      <w:r>
        <w:t>Define the problem, customer requirements, financial relevance and project charter.</w:t>
      </w:r>
    </w:p>
    <w:p>
      <w:pPr>
        <w:pStyle w:val="ListBullet"/>
      </w:pPr>
      <w:r>
        <w:t>Measure the baseline using operational definitions and a suitable measurement-system assessment.</w:t>
      </w:r>
    </w:p>
    <w:p>
      <w:pPr>
        <w:pStyle w:val="ListBullet"/>
      </w:pPr>
      <w:r>
        <w:t>Analyze patterns and test suspected causes using methods appropriate to the data.</w:t>
      </w:r>
    </w:p>
    <w:p>
      <w:pPr>
        <w:pStyle w:val="ListBullet"/>
      </w:pPr>
      <w:r>
        <w:t>Improve through controlled trials or designed experiments where justified.</w:t>
      </w:r>
    </w:p>
    <w:p>
      <w:pPr>
        <w:pStyle w:val="ListBullet"/>
      </w:pPr>
      <w:r>
        <w:t>Control through standard methods, monitoring, reaction rules and verified handover.</w:t>
      </w:r>
    </w:p>
    <w:p>
      <w:pPr>
        <w:pStyle w:val="Heading2"/>
      </w:pPr>
      <w:r>
        <w:t>Client deliverables</w:t>
      </w:r>
    </w:p>
    <w:p>
      <w:pPr>
        <w:pStyle w:val="ListBullet"/>
      </w:pPr>
      <w:r>
        <w:t>DMAIC charter and measurement plan</w:t>
      </w:r>
    </w:p>
    <w:p>
      <w:pPr>
        <w:pStyle w:val="ListBullet"/>
      </w:pPr>
      <w:r>
        <w:t>Baseline and measurement-system findings</w:t>
      </w:r>
    </w:p>
    <w:p>
      <w:pPr>
        <w:pStyle w:val="ListBullet"/>
      </w:pPr>
      <w:r>
        <w:t>Root-cause evidence and solution trial results</w:t>
      </w:r>
    </w:p>
    <w:p>
      <w:pPr>
        <w:pStyle w:val="ListBullet"/>
      </w:pPr>
      <w:r>
        <w:t>Control plan, revised instructions and benefits verification</w:t>
      </w:r>
    </w:p>
    <w:p>
      <w:pPr>
        <w:pStyle w:val="Heading2"/>
      </w:pPr>
      <w:r>
        <w:t>Measurement and acceptance</w:t>
      </w:r>
    </w:p>
    <w:p>
      <w:r>
        <w:t>Measures: Defect rate; first-pass yield; scrap and rework; variation; repeat complaints; cost of poor quality.</w:t>
      </w:r>
    </w:p>
    <w:p>
      <w:r>
        <w:t>Completion: Agreed performance is demonstrated over an appropriate verification period; controls and response ownership operate.</w:t>
      </w:r>
    </w:p>
    <w:p>
      <w:pPr>
        <w:pStyle w:val="Heading2"/>
      </w:pPr>
      <w:r>
        <w:t>Client inputs and application</w:t>
      </w:r>
    </w:p>
    <w:p>
      <w:r>
        <w:t>Representative data, specifications, measurement equipment or records, process expertise and permission to trial changes.</w:t>
      </w:r>
    </w:p>
    <w:p>
      <w:r>
        <w:t>Illustrative application: A rejection problem may require checking measurement reliability before testing process factors. An entry-error problem may require clearer inputs and error-proofing.</w:t>
      </w:r>
    </w:p>
    <w:p>
      <w:pPr>
        <w:pStyle w:val="Heading2"/>
      </w:pPr>
      <w:r>
        <w:t>Scope conditions and benchmark</w:t>
      </w:r>
    </w:p>
    <w:p>
      <w:r>
        <w:t>Capability indices require suitable specifications and assumptions; statistical association alone does not establish causation.</w:t>
      </w:r>
    </w:p>
    <w:p>
      <w:r>
        <w:t>Published service references: R6 R7. See the benchmark register. Timelines and scope are ITQAN proposals.</w:t>
      </w:r>
    </w:p>
    <w:p>
      <w:r>
        <w:br w:type="page"/>
      </w:r>
    </w:p>
    <w:p>
      <w:pPr>
        <w:pStyle w:val="Heading1"/>
      </w:pPr>
      <w:r>
        <w:t>06 Equipment productivity and changeover reduction</w:t>
      </w:r>
    </w:p>
    <w:p>
      <w:r>
        <w:t>Service S06  |  IE and Lean  |  Proposed pilot 6–10 weeks</w:t>
      </w:r>
    </w:p>
    <w:p>
      <w:r>
        <w:t>Recover useful machine time by reducing operational losses and improving changeovers.</w:t>
      </w:r>
    </w:p>
    <w:p>
      <w:pPr>
        <w:pStyle w:val="Heading2"/>
      </w:pPr>
      <w:r>
        <w:t>Client need and standard scope</w:t>
      </w:r>
    </w:p>
    <w:p>
      <w:r>
        <w:t>Factories where critical equipment suffers repeated stops, slow running, long setups or startup defects. One critical machine or line and selected representative changeovers.</w:t>
      </w:r>
    </w:p>
    <w:p>
      <w:pPr>
        <w:pStyle w:val="Heading2"/>
      </w:pPr>
      <w:r>
        <w:t>Delivery activities</w:t>
      </w:r>
    </w:p>
    <w:p>
      <w:pPr>
        <w:pStyle w:val="ListBullet"/>
      </w:pPr>
      <w:r>
        <w:t>Agree scheduled time, ideal-rate assumptions and consistent loss categories.</w:t>
      </w:r>
    </w:p>
    <w:p>
      <w:pPr>
        <w:pStyle w:val="ListBullet"/>
      </w:pPr>
      <w:r>
        <w:t>Establish trustworthy downtime, speed and quality recording.</w:t>
      </w:r>
    </w:p>
    <w:p>
      <w:pPr>
        <w:pStyle w:val="ListBullet"/>
      </w:pPr>
      <w:r>
        <w:t>Analyze dominant losses and observe changeovers directly.</w:t>
      </w:r>
    </w:p>
    <w:p>
      <w:pPr>
        <w:pStyle w:val="ListBullet"/>
      </w:pPr>
      <w:r>
        <w:t>Separate stopped-machine tasks from preparation possible before shutdown; improve sequencing and readiness.</w:t>
      </w:r>
    </w:p>
    <w:p>
      <w:pPr>
        <w:pStyle w:val="ListBullet"/>
      </w:pPr>
      <w:r>
        <w:t>Trial improved methods, train staff and establish operating reviews.</w:t>
      </w:r>
    </w:p>
    <w:p>
      <w:pPr>
        <w:pStyle w:val="Heading2"/>
      </w:pPr>
      <w:r>
        <w:t>Client deliverables</w:t>
      </w:r>
    </w:p>
    <w:p>
      <w:pPr>
        <w:pStyle w:val="ListBullet"/>
      </w:pPr>
      <w:r>
        <w:t>Equipment-loss baseline and OEE model where appropriate</w:t>
      </w:r>
    </w:p>
    <w:p>
      <w:pPr>
        <w:pStyle w:val="ListBullet"/>
      </w:pPr>
      <w:r>
        <w:t>Downtime Pareto and changeover study</w:t>
      </w:r>
    </w:p>
    <w:p>
      <w:pPr>
        <w:pStyle w:val="ListBullet"/>
      </w:pPr>
      <w:r>
        <w:t>Revised setup checklist and standard sequence</w:t>
      </w:r>
    </w:p>
    <w:p>
      <w:pPr>
        <w:pStyle w:val="ListBullet"/>
      </w:pPr>
      <w:r>
        <w:t>Action plan, pilot results and sustainment controls</w:t>
      </w:r>
    </w:p>
    <w:p>
      <w:pPr>
        <w:pStyle w:val="Heading2"/>
      </w:pPr>
      <w:r>
        <w:t>Measurement and acceptance</w:t>
      </w:r>
    </w:p>
    <w:p>
      <w:r>
        <w:t>Measures: Good output per scheduled hour; unplanned downtime; setup duration; startup defects; OEE.</w:t>
      </w:r>
    </w:p>
    <w:p>
      <w:r>
        <w:t>Completion: Repeatable pilot improvement is shown using unchanged agreed definitions and an assigned process owner.</w:t>
      </w:r>
    </w:p>
    <w:p>
      <w:pPr>
        <w:pStyle w:val="Heading2"/>
      </w:pPr>
      <w:r>
        <w:t>Client inputs and application</w:t>
      </w:r>
    </w:p>
    <w:p>
      <w:r>
        <w:t>Operating logs, machine-rate basis, access to setups, operators and maintenance personnel.</w:t>
      </w:r>
    </w:p>
    <w:p>
      <w:r>
        <w:t>Illustrative application: A packaging line can prepare tools and materials before shutdown and standardize setup verification.</w:t>
      </w:r>
    </w:p>
    <w:p>
      <w:pPr>
        <w:pStyle w:val="Heading2"/>
      </w:pPr>
      <w:r>
        <w:t>Scope conditions and benchmark</w:t>
      </w:r>
    </w:p>
    <w:p>
      <w:r>
        <w:t>Technical maintenance and machine modifications require relevant specialists. Do not inflate OEE by excluding real losses.</w:t>
      </w:r>
    </w:p>
    <w:p>
      <w:r>
        <w:t>Published service references: R8 R9. See the benchmark register. Timelines and scope are ITQAN proposals.</w:t>
      </w:r>
    </w:p>
    <w:p>
      <w:r>
        <w:br w:type="page"/>
      </w:r>
    </w:p>
    <w:p>
      <w:pPr>
        <w:pStyle w:val="Heading1"/>
      </w:pPr>
      <w:r>
        <w:t>07 Inventory warehouse and replenishment improvement</w:t>
      </w:r>
    </w:p>
    <w:p>
      <w:r>
        <w:t>Service S07  |  IE and Lean  |  Proposed pilot 6–12 weeks</w:t>
      </w:r>
    </w:p>
    <w:p>
      <w:r>
        <w:t>Improve material availability, warehouse execution and replenishment decisions.</w:t>
      </w:r>
    </w:p>
    <w:p>
      <w:pPr>
        <w:pStyle w:val="Heading2"/>
      </w:pPr>
      <w:r>
        <w:t>Client need and standard scope</w:t>
      </w:r>
    </w:p>
    <w:p>
      <w:r>
        <w:t>Stores, warehouses and factories with stockouts, high inventory, inaccuracies or slow picking. One zone or selected item family; agreed operational inventory and flow analysis.</w:t>
      </w:r>
    </w:p>
    <w:p>
      <w:pPr>
        <w:pStyle w:val="Heading2"/>
      </w:pPr>
      <w:r>
        <w:t>Delivery activities</w:t>
      </w:r>
    </w:p>
    <w:p>
      <w:pPr>
        <w:pStyle w:val="ListBullet"/>
      </w:pPr>
      <w:r>
        <w:t>Assess item-master quality, units, locations and transaction reliability.</w:t>
      </w:r>
    </w:p>
    <w:p>
      <w:pPr>
        <w:pStyle w:val="ListBullet"/>
      </w:pPr>
      <w:r>
        <w:t>Validate selected physical stocks and investigate discrepancies.</w:t>
      </w:r>
    </w:p>
    <w:p>
      <w:pPr>
        <w:pStyle w:val="ListBullet"/>
      </w:pPr>
      <w:r>
        <w:t>Segment items by value, movement, demand variability and criticality.</w:t>
      </w:r>
    </w:p>
    <w:p>
      <w:pPr>
        <w:pStyle w:val="ListBullet"/>
      </w:pPr>
      <w:r>
        <w:t>Review demand and replenishment lead times; propose differentiated stock rules.</w:t>
      </w:r>
    </w:p>
    <w:p>
      <w:pPr>
        <w:pStyle w:val="ListBullet"/>
      </w:pPr>
      <w:r>
        <w:t>Pilot storage, picking, cycle counting and replenishment changes.</w:t>
      </w:r>
    </w:p>
    <w:p>
      <w:pPr>
        <w:pStyle w:val="Heading2"/>
      </w:pPr>
      <w:r>
        <w:t>Client deliverables</w:t>
      </w:r>
    </w:p>
    <w:p>
      <w:pPr>
        <w:pStyle w:val="ListBullet"/>
      </w:pPr>
      <w:r>
        <w:t>Inventory data-quality assessment and segmentation</w:t>
      </w:r>
    </w:p>
    <w:p>
      <w:pPr>
        <w:pStyle w:val="ListBullet"/>
      </w:pPr>
      <w:r>
        <w:t>Proposed stock parameters with assumptions</w:t>
      </w:r>
    </w:p>
    <w:p>
      <w:pPr>
        <w:pStyle w:val="ListBullet"/>
      </w:pPr>
      <w:r>
        <w:t>Storage and picking-flow recommendations</w:t>
      </w:r>
    </w:p>
    <w:p>
      <w:pPr>
        <w:pStyle w:val="ListBullet"/>
      </w:pPr>
      <w:r>
        <w:t>Cycle-count procedure and inventory dashboard</w:t>
      </w:r>
    </w:p>
    <w:p>
      <w:pPr>
        <w:pStyle w:val="Heading2"/>
      </w:pPr>
      <w:r>
        <w:t>Measurement and acceptance</w:t>
      </w:r>
    </w:p>
    <w:p>
      <w:r>
        <w:t>Measures: Stock accuracy; stockouts; fill rate; inventory days; obsolete stock; picking accuracy.</w:t>
      </w:r>
    </w:p>
    <w:p>
      <w:r>
        <w:t>Completion: Client approves pilot parameters; stock records and service performance are monitored together.</w:t>
      </w:r>
    </w:p>
    <w:p>
      <w:pPr>
        <w:pStyle w:val="Heading2"/>
      </w:pPr>
      <w:r>
        <w:t>Client inputs and application</w:t>
      </w:r>
    </w:p>
    <w:p>
      <w:r>
        <w:t>Item-level demand and stock history, supplier lead times, purchase constraints and warehouse access.</w:t>
      </w:r>
    </w:p>
    <w:p>
      <w:r>
        <w:t>Illustrative application: Fast-moving consumables and critical long-lead spares receive different replenishment policies.</w:t>
      </w:r>
    </w:p>
    <w:p>
      <w:pPr>
        <w:pStyle w:val="Heading2"/>
      </w:pPr>
      <w:r>
        <w:t>Scope conditions and benchmark</w:t>
      </w:r>
    </w:p>
    <w:p>
      <w:r>
        <w:t>Inventory reduction is not a universal objective. Complex network optimization and enterprise planning are separately scoped.</w:t>
      </w:r>
    </w:p>
    <w:p>
      <w:r>
        <w:t>Published service references: R4 R10. See the benchmark register. Timelines and scope are ITQAN proposals.</w:t>
      </w:r>
    </w:p>
    <w:p>
      <w:r>
        <w:br w:type="page"/>
      </w:r>
    </w:p>
    <w:p>
      <w:pPr>
        <w:pStyle w:val="Heading1"/>
      </w:pPr>
      <w:r>
        <w:t>08 Standard work SOPs and daily management</w:t>
      </w:r>
    </w:p>
    <w:p>
      <w:r>
        <w:t>Service S08  |  IE and Lean  |  Proposed pilot 4–8 weeks</w:t>
      </w:r>
    </w:p>
    <w:p>
      <w:r>
        <w:t>Make work consistent and establish a regular routine for detecting and resolving problems.</w:t>
      </w:r>
    </w:p>
    <w:p>
      <w:pPr>
        <w:pStyle w:val="Heading2"/>
      </w:pPr>
      <w:r>
        <w:t>Client need and standard scope</w:t>
      </w:r>
    </w:p>
    <w:p>
      <w:r>
        <w:t>Teams whose results depend on individuals, inconsistent methods or weak follow-up. One department, up to five agreed processes and a proportionate daily management routine.</w:t>
      </w:r>
    </w:p>
    <w:p>
      <w:pPr>
        <w:pStyle w:val="Heading2"/>
      </w:pPr>
      <w:r>
        <w:t>Delivery activities</w:t>
      </w:r>
    </w:p>
    <w:p>
      <w:pPr>
        <w:pStyle w:val="ListBullet"/>
      </w:pPr>
      <w:r>
        <w:t>Observe actual work and agree a workable preferred method with users.</w:t>
      </w:r>
    </w:p>
    <w:p>
      <w:pPr>
        <w:pStyle w:val="ListBullet"/>
      </w:pPr>
      <w:r>
        <w:t>Define process owners, checks, exceptions and decision authority.</w:t>
      </w:r>
    </w:p>
    <w:p>
      <w:pPr>
        <w:pStyle w:val="ListBullet"/>
      </w:pPr>
      <w:r>
        <w:t>Prepare and test SOPs, work instructions and forms.</w:t>
      </w:r>
    </w:p>
    <w:p>
      <w:pPr>
        <w:pStyle w:val="ListBullet"/>
      </w:pPr>
      <w:r>
        <w:t>Introduce workplace organization, visual standards and 5S where relevant.</w:t>
      </w:r>
    </w:p>
    <w:p>
      <w:pPr>
        <w:pStyle w:val="ListBullet"/>
      </w:pPr>
      <w:r>
        <w:t>Set KPI definitions, review meetings, action tracking and escalation; coach owners.</w:t>
      </w:r>
    </w:p>
    <w:p>
      <w:pPr>
        <w:pStyle w:val="Heading2"/>
      </w:pPr>
      <w:r>
        <w:t>Client deliverables</w:t>
      </w:r>
    </w:p>
    <w:p>
      <w:pPr>
        <w:pStyle w:val="ListBullet"/>
      </w:pPr>
      <w:r>
        <w:t>Process maps and approved standard-work documents</w:t>
      </w:r>
    </w:p>
    <w:p>
      <w:pPr>
        <w:pStyle w:val="ListBullet"/>
      </w:pPr>
      <w:r>
        <w:t>Forms, checklists and document register</w:t>
      </w:r>
    </w:p>
    <w:p>
      <w:pPr>
        <w:pStyle w:val="ListBullet"/>
      </w:pPr>
      <w:r>
        <w:t>Visual-board templates and KPI dictionary</w:t>
      </w:r>
    </w:p>
    <w:p>
      <w:pPr>
        <w:pStyle w:val="ListBullet"/>
      </w:pPr>
      <w:r>
        <w:t>Training records and adherence review plan</w:t>
      </w:r>
    </w:p>
    <w:p>
      <w:pPr>
        <w:pStyle w:val="Heading2"/>
      </w:pPr>
      <w:r>
        <w:t>Measurement and acceptance</w:t>
      </w:r>
    </w:p>
    <w:p>
      <w:r>
        <w:t>Measures: Process adherence; recurring errors; overdue actions; onboarding time; selected operational KPIs.</w:t>
      </w:r>
    </w:p>
    <w:p>
      <w:r>
        <w:t>Completion: Users demonstrate the method; current documents are accessible; management operates the review routine.</w:t>
      </w:r>
    </w:p>
    <w:p>
      <w:pPr>
        <w:pStyle w:val="Heading2"/>
      </w:pPr>
      <w:r>
        <w:t>Client inputs and application</w:t>
      </w:r>
    </w:p>
    <w:p>
      <w:r>
        <w:t>Process owners, document approvers, user participation and access to current procedures.</w:t>
      </w:r>
    </w:p>
    <w:p>
      <w:r>
        <w:t>Illustrative application: A production team can review daily output and defects; an office can review backlog and overdue cases using the same ownership principles.</w:t>
      </w:r>
    </w:p>
    <w:p>
      <w:pPr>
        <w:pStyle w:val="Heading2"/>
      </w:pPr>
      <w:r>
        <w:t>Scope conditions and benchmark</w:t>
      </w:r>
    </w:p>
    <w:p>
      <w:r>
        <w:t>This is implementation support, not third-party certification. Dashboard software and integrations are separately scoped.</w:t>
      </w:r>
    </w:p>
    <w:p>
      <w:r>
        <w:t>Published service references: R8 R11. See the benchmark register. Timelines and scope are ITQAN proposals.</w:t>
      </w:r>
    </w:p>
    <w:p>
      <w:r>
        <w:br w:type="page"/>
      </w:r>
    </w:p>
    <w:p>
      <w:pPr>
        <w:pStyle w:val="Heading1"/>
      </w:pPr>
      <w:r>
        <w:t>09 Project planning scheduling and controls</w:t>
      </w:r>
    </w:p>
    <w:p>
      <w:r>
        <w:t>Service S09  |  PMP  |  Proposed pilot 3–6 weeks setup</w:t>
      </w:r>
    </w:p>
    <w:p>
      <w:r>
        <w:t>Create a credible project baseline and timely visibility of delivery risks and progress.</w:t>
      </w:r>
    </w:p>
    <w:p>
      <w:pPr>
        <w:pStyle w:val="Heading2"/>
      </w:pPr>
      <w:r>
        <w:t>Client need and standard scope</w:t>
      </w:r>
    </w:p>
    <w:p>
      <w:r>
        <w:t>Organizations implementing plant improvements, new processes, systems or organizational projects. One project with agreed planning detail and reporting cycles.</w:t>
      </w:r>
    </w:p>
    <w:p>
      <w:pPr>
        <w:pStyle w:val="Heading2"/>
      </w:pPr>
      <w:r>
        <w:t>Delivery activities</w:t>
      </w:r>
    </w:p>
    <w:p>
      <w:pPr>
        <w:pStyle w:val="ListBullet"/>
      </w:pPr>
      <w:r>
        <w:t>Confirm objectives, scope, deliverables and acceptance requirements.</w:t>
      </w:r>
    </w:p>
    <w:p>
      <w:pPr>
        <w:pStyle w:val="ListBullet"/>
      </w:pPr>
      <w:r>
        <w:t>Develop a work breakdown structure, dependencies, durations and resource assumptions.</w:t>
      </w:r>
    </w:p>
    <w:p>
      <w:pPr>
        <w:pStyle w:val="ListBullet"/>
      </w:pPr>
      <w:r>
        <w:t>Build a baseline schedule and align it with client-approved cost estimates.</w:t>
      </w:r>
    </w:p>
    <w:p>
      <w:pPr>
        <w:pStyle w:val="ListBullet"/>
      </w:pPr>
      <w:r>
        <w:t>Establish risk, issue, change and decision registers and escalation routes.</w:t>
      </w:r>
    </w:p>
    <w:p>
      <w:pPr>
        <w:pStyle w:val="ListBullet"/>
      </w:pPr>
      <w:r>
        <w:t>Define progress rules, reporting and forecasts; support handover and closeout.</w:t>
      </w:r>
    </w:p>
    <w:p>
      <w:pPr>
        <w:pStyle w:val="Heading2"/>
      </w:pPr>
      <w:r>
        <w:t>Client deliverables</w:t>
      </w:r>
    </w:p>
    <w:p>
      <w:pPr>
        <w:pStyle w:val="ListBullet"/>
      </w:pPr>
      <w:r>
        <w:t>Project charter and scope baseline</w:t>
      </w:r>
    </w:p>
    <w:p>
      <w:pPr>
        <w:pStyle w:val="ListBullet"/>
      </w:pPr>
      <w:r>
        <w:t>Work breakdown structure and dependency-based schedule</w:t>
      </w:r>
    </w:p>
    <w:p>
      <w:pPr>
        <w:pStyle w:val="ListBullet"/>
      </w:pPr>
      <w:r>
        <w:t>Responsibilities and project controls registers</w:t>
      </w:r>
    </w:p>
    <w:p>
      <w:pPr>
        <w:pStyle w:val="ListBullet"/>
      </w:pPr>
      <w:r>
        <w:t>Progress dashboard, forecast and closeout checklist</w:t>
      </w:r>
    </w:p>
    <w:p>
      <w:pPr>
        <w:pStyle w:val="Heading2"/>
      </w:pPr>
      <w:r>
        <w:t>Measurement and acceptance</w:t>
      </w:r>
    </w:p>
    <w:p>
      <w:r>
        <w:t>Measures: Milestone reliability; forecast completion; overdue decisions; cost forecast; approved changes.</w:t>
      </w:r>
    </w:p>
    <w:p>
      <w:r>
        <w:t>Completion: Sponsor approves the baseline; owners understand responsibilities; reporting follows agreed evidence rules.</w:t>
      </w:r>
    </w:p>
    <w:p>
      <w:pPr>
        <w:pStyle w:val="Heading2"/>
      </w:pPr>
      <w:r>
        <w:t>Client inputs and application</w:t>
      </w:r>
    </w:p>
    <w:p>
      <w:r>
        <w:t>Sponsor decisions, scope and estimates, delivery-team input, supplier commitments and reporting access.</w:t>
      </w:r>
    </w:p>
    <w:p>
      <w:r>
        <w:t>Illustrative application: An equipment-installation project can coordinate vendor delivery, site readiness, training and acceptance as one integrated schedule.</w:t>
      </w:r>
    </w:p>
    <w:p>
      <w:pPr>
        <w:pStyle w:val="Heading2"/>
      </w:pPr>
      <w:r>
        <w:t>Scope conditions and benchmark</w:t>
      </w:r>
    </w:p>
    <w:p>
      <w:r>
        <w:t>Cost estimates require client or technical-owner approval. Engineering design and contract legal advice remain separate.</w:t>
      </w:r>
    </w:p>
    <w:p>
      <w:r>
        <w:t>Published service references: R12 R13. See the benchmark register. Timelines and scope are ITQAN proposals.</w:t>
      </w:r>
    </w:p>
    <w:p>
      <w:r>
        <w:br w:type="page"/>
      </w:r>
    </w:p>
    <w:p>
      <w:pPr>
        <w:pStyle w:val="Heading1"/>
      </w:pPr>
      <w:r>
        <w:t>10 Project review and recovery</w:t>
      </w:r>
    </w:p>
    <w:p>
      <w:r>
        <w:t>Service S10  |  PMP  |  Proposed pilot 2–4 weeks planning</w:t>
      </w:r>
    </w:p>
    <w:p>
      <w:r>
        <w:t>Establish the condition of a troubled project and a decision-ready recovery approach.</w:t>
      </w:r>
    </w:p>
    <w:p>
      <w:pPr>
        <w:pStyle w:val="Heading2"/>
      </w:pPr>
      <w:r>
        <w:t>Client need and standard scope</w:t>
      </w:r>
    </w:p>
    <w:p>
      <w:r>
        <w:t>Projects with repeatedly missed dates, unreliable forecasts, unclear scope or unresolved decisions. One project; diagnosis and recovery planning followed by separately agreed implementation support.</w:t>
      </w:r>
    </w:p>
    <w:p>
      <w:pPr>
        <w:pStyle w:val="Heading2"/>
      </w:pPr>
      <w:r>
        <w:t>Delivery activities</w:t>
      </w:r>
    </w:p>
    <w:p>
      <w:pPr>
        <w:pStyle w:val="ListBullet"/>
      </w:pPr>
      <w:r>
        <w:t>Review scope, commitments, reports, costs and governance records.</w:t>
      </w:r>
    </w:p>
    <w:p>
      <w:pPr>
        <w:pStyle w:val="ListBullet"/>
      </w:pPr>
      <w:r>
        <w:t>Validate completed work and the remaining deliverables.</w:t>
      </w:r>
    </w:p>
    <w:p>
      <w:pPr>
        <w:pStyle w:val="ListBullet"/>
      </w:pPr>
      <w:r>
        <w:t>Assess schedule logic, dependencies, resources and unresolved decisions.</w:t>
      </w:r>
    </w:p>
    <w:p>
      <w:pPr>
        <w:pStyle w:val="ListBullet"/>
      </w:pPr>
      <w:r>
        <w:t>Develop recovery options with scope, time, cost and risk tradeoffs.</w:t>
      </w:r>
    </w:p>
    <w:p>
      <w:pPr>
        <w:pStyle w:val="ListBullet"/>
      </w:pPr>
      <w:r>
        <w:t>Obtain sponsor decisions and establish a revised baseline and monitoring routine.</w:t>
      </w:r>
    </w:p>
    <w:p>
      <w:pPr>
        <w:pStyle w:val="Heading2"/>
      </w:pPr>
      <w:r>
        <w:t>Client deliverables</w:t>
      </w:r>
    </w:p>
    <w:p>
      <w:pPr>
        <w:pStyle w:val="ListBullet"/>
      </w:pPr>
      <w:r>
        <w:t>Independent project health assessment</w:t>
      </w:r>
    </w:p>
    <w:p>
      <w:pPr>
        <w:pStyle w:val="ListBullet"/>
      </w:pPr>
      <w:r>
        <w:t>Remaining-scope and delivery-constraint register</w:t>
      </w:r>
    </w:p>
    <w:p>
      <w:pPr>
        <w:pStyle w:val="ListBullet"/>
      </w:pPr>
      <w:r>
        <w:t>Recovery options and sponsor decision log</w:t>
      </w:r>
    </w:p>
    <w:p>
      <w:pPr>
        <w:pStyle w:val="ListBullet"/>
      </w:pPr>
      <w:r>
        <w:t>Approved recovery schedule and monitoring dashboard</w:t>
      </w:r>
    </w:p>
    <w:p>
      <w:pPr>
        <w:pStyle w:val="Heading2"/>
      </w:pPr>
      <w:r>
        <w:t>Measurement and acceptance</w:t>
      </w:r>
    </w:p>
    <w:p>
      <w:r>
        <w:t>Measures: Forecast reliability; overdue critical actions; decision closure; delivery against the revised baseline.</w:t>
      </w:r>
    </w:p>
    <w:p>
      <w:r>
        <w:t>Completion: Sponsor selects a feasible option and accepts the revised baseline, assumptions and dependencies.</w:t>
      </w:r>
    </w:p>
    <w:p>
      <w:pPr>
        <w:pStyle w:val="Heading2"/>
      </w:pPr>
      <w:r>
        <w:t>Client inputs and application</w:t>
      </w:r>
    </w:p>
    <w:p>
      <w:r>
        <w:t>Complete project records, access to team and suppliers, sponsor authority and timely decisions.</w:t>
      </w:r>
    </w:p>
    <w:p>
      <w:r>
        <w:t>Illustrative application: A delayed rollout may require staged delivery, scope decisions and resource changes before a revised completion date is credible.</w:t>
      </w:r>
    </w:p>
    <w:p>
      <w:pPr>
        <w:pStyle w:val="Heading2"/>
      </w:pPr>
      <w:r>
        <w:t>Scope conditions and benchmark</w:t>
      </w:r>
    </w:p>
    <w:p>
      <w:r>
        <w:t>Recovery feasibility depends on client authority, funding and supplier commitments; completion cannot be guaranteed at diagnosis.</w:t>
      </w:r>
    </w:p>
    <w:p>
      <w:r>
        <w:t>Published service references: R12 R14. See the benchmark register. Timelines and scope are ITQAN proposals.</w:t>
      </w:r>
    </w:p>
    <w:p>
      <w:r>
        <w:br w:type="page"/>
      </w:r>
    </w:p>
    <w:p>
      <w:pPr>
        <w:pStyle w:val="Heading1"/>
      </w:pPr>
      <w:r>
        <w:t>11 PMO setup and managed project support</w:t>
      </w:r>
    </w:p>
    <w:p>
      <w:r>
        <w:t>Service S11  |  PMP  |  Proposed pilot 8–12 weeks setup</w:t>
      </w:r>
    </w:p>
    <w:p>
      <w:r>
        <w:t>Build proportionate governance and support for a portfolio of projects.</w:t>
      </w:r>
    </w:p>
    <w:p>
      <w:pPr>
        <w:pStyle w:val="Heading2"/>
      </w:pPr>
      <w:r>
        <w:t>Client need and standard scope</w:t>
      </w:r>
    </w:p>
    <w:p>
      <w:r>
        <w:t>Businesses with inconsistent project practices, weak portfolio visibility or competing resource priorities. Initial PMO setup for up to five pilot projects; managed support defined separately.</w:t>
      </w:r>
    </w:p>
    <w:p>
      <w:pPr>
        <w:pStyle w:val="Heading2"/>
      </w:pPr>
      <w:r>
        <w:t>Delivery activities</w:t>
      </w:r>
    </w:p>
    <w:p>
      <w:pPr>
        <w:pStyle w:val="ListBullet"/>
      </w:pPr>
      <w:r>
        <w:t>Assess current project practices and leadership information needs.</w:t>
      </w:r>
    </w:p>
    <w:p>
      <w:pPr>
        <w:pStyle w:val="ListBullet"/>
      </w:pPr>
      <w:r>
        <w:t>Define PMO purpose, authority, service catalogue and operating responsibilities.</w:t>
      </w:r>
    </w:p>
    <w:p>
      <w:pPr>
        <w:pStyle w:val="ListBullet"/>
      </w:pPr>
      <w:r>
        <w:t>Establish intake, prioritization, governance gates and reporting standards.</w:t>
      </w:r>
    </w:p>
    <w:p>
      <w:pPr>
        <w:pStyle w:val="ListBullet"/>
      </w:pPr>
      <w:r>
        <w:t>Develop portfolio visibility, resource-conflict escalation and benefits ownership.</w:t>
      </w:r>
    </w:p>
    <w:p>
      <w:pPr>
        <w:pStyle w:val="ListBullet"/>
      </w:pPr>
      <w:r>
        <w:t>Pilot templates and reviews; coach project owners; transition to ongoing operation.</w:t>
      </w:r>
    </w:p>
    <w:p>
      <w:pPr>
        <w:pStyle w:val="Heading2"/>
      </w:pPr>
      <w:r>
        <w:t>Client deliverables</w:t>
      </w:r>
    </w:p>
    <w:p>
      <w:pPr>
        <w:pStyle w:val="ListBullet"/>
      </w:pPr>
      <w:r>
        <w:t>PMO charter and service catalogue</w:t>
      </w:r>
    </w:p>
    <w:p>
      <w:pPr>
        <w:pStyle w:val="ListBullet"/>
      </w:pPr>
      <w:r>
        <w:t>Project intake and prioritization method</w:t>
      </w:r>
    </w:p>
    <w:p>
      <w:pPr>
        <w:pStyle w:val="ListBullet"/>
      </w:pPr>
      <w:r>
        <w:t>Governance calendar and standard toolkit</w:t>
      </w:r>
    </w:p>
    <w:p>
      <w:pPr>
        <w:pStyle w:val="ListBullet"/>
      </w:pPr>
      <w:r>
        <w:t>Portfolio dashboard, benefits register and operating guide</w:t>
      </w:r>
    </w:p>
    <w:p>
      <w:pPr>
        <w:pStyle w:val="Heading2"/>
      </w:pPr>
      <w:r>
        <w:t>Measurement and acceptance</w:t>
      </w:r>
    </w:p>
    <w:p>
      <w:r>
        <w:t>Measures: Reporting reliability; milestone performance; overdue decisions; resource conflicts; benefits review completion.</w:t>
      </w:r>
    </w:p>
    <w:p>
      <w:r>
        <w:t>Completion: Pilot governance cycles are completed; reporting is usable; PMO responsibilities and ownership are approved.</w:t>
      </w:r>
    </w:p>
    <w:p>
      <w:pPr>
        <w:pStyle w:val="Heading2"/>
      </w:pPr>
      <w:r>
        <w:t>Client inputs and application</w:t>
      </w:r>
    </w:p>
    <w:p>
      <w:r>
        <w:t>Executive sponsorship, project inventory, project-owner participation and agreement on PMO authority.</w:t>
      </w:r>
    </w:p>
    <w:p>
      <w:r>
        <w:t>Illustrative application: A growing manufacturer can consolidate expansion, maintenance and system projects into one leadership review.</w:t>
      </w:r>
    </w:p>
    <w:p>
      <w:pPr>
        <w:pStyle w:val="Heading2"/>
      </w:pPr>
      <w:r>
        <w:t>Scope conditions and benchmark</w:t>
      </w:r>
    </w:p>
    <w:p>
      <w:r>
        <w:t>Use a system proportionate to the portfolio. A retainer must define days, active projects, response times and additional-work rates.</w:t>
      </w:r>
    </w:p>
    <w:p>
      <w:r>
        <w:t>Published service references: R12 R15. See the benchmark register. Timelines and scope are ITQAN proposals.</w:t>
      </w:r>
    </w:p>
    <w:p>
      <w:r>
        <w:br w:type="page"/>
      </w:r>
    </w:p>
    <w:p>
      <w:pPr>
        <w:pStyle w:val="Heading1"/>
      </w:pPr>
      <w:r>
        <w:t>12 Training and improvement project coaching</w:t>
      </w:r>
    </w:p>
    <w:p>
      <w:r>
        <w:t>Service S12  |  Combined  |  Proposed pilot Course plus coaching</w:t>
      </w:r>
    </w:p>
    <w:p>
      <w:r>
        <w:t>Develop practical capability through applied learning and reviewed workplace projects.</w:t>
      </w:r>
    </w:p>
    <w:p>
      <w:pPr>
        <w:pStyle w:val="Heading2"/>
      </w:pPr>
      <w:r>
        <w:t>Client need and standard scope</w:t>
      </w:r>
    </w:p>
    <w:p>
      <w:r>
        <w:t>Supervisors, engineers, analysts, project owners and managers needing to apply improvement methods. An agreed cohort and course; workplace coaching and assessment limits specified in the proposal.</w:t>
      </w:r>
    </w:p>
    <w:p>
      <w:pPr>
        <w:pStyle w:val="Heading2"/>
      </w:pPr>
      <w:r>
        <w:t>Delivery activities</w:t>
      </w:r>
    </w:p>
    <w:p>
      <w:pPr>
        <w:pStyle w:val="ListBullet"/>
      </w:pPr>
      <w:r>
        <w:t>Assess learning needs and select relevant workplace examples.</w:t>
      </w:r>
    </w:p>
    <w:p>
      <w:pPr>
        <w:pStyle w:val="ListBullet"/>
      </w:pPr>
      <w:r>
        <w:t>Deliver focused instruction with exercises and practical templates.</w:t>
      </w:r>
    </w:p>
    <w:p>
      <w:pPr>
        <w:pStyle w:val="ListBullet"/>
      </w:pPr>
      <w:r>
        <w:t>Assign an appropriate work-based application or improvement project.</w:t>
      </w:r>
    </w:p>
    <w:p>
      <w:pPr>
        <w:pStyle w:val="ListBullet"/>
      </w:pPr>
      <w:r>
        <w:t>Coach teams through evidence, analysis, implementation and controls.</w:t>
      </w:r>
    </w:p>
    <w:p>
      <w:pPr>
        <w:pStyle w:val="ListBullet"/>
      </w:pPr>
      <w:r>
        <w:t>Assess learning and application; report progress to the sponsor.</w:t>
      </w:r>
    </w:p>
    <w:p>
      <w:pPr>
        <w:pStyle w:val="Heading2"/>
      </w:pPr>
      <w:r>
        <w:t>Client deliverables</w:t>
      </w:r>
    </w:p>
    <w:p>
      <w:pPr>
        <w:pStyle w:val="ListBullet"/>
      </w:pPr>
      <w:r>
        <w:t>Course materials and exercises</w:t>
      </w:r>
    </w:p>
    <w:p>
      <w:pPr>
        <w:pStyle w:val="ListBullet"/>
      </w:pPr>
      <w:r>
        <w:t>Reusable tools and templates</w:t>
      </w:r>
    </w:p>
    <w:p>
      <w:pPr>
        <w:pStyle w:val="ListBullet"/>
      </w:pPr>
      <w:r>
        <w:t>Assessment and coaching records</w:t>
      </w:r>
    </w:p>
    <w:p>
      <w:pPr>
        <w:pStyle w:val="ListBullet"/>
      </w:pPr>
      <w:r>
        <w:t>Completion records and sponsor progress summary</w:t>
      </w:r>
    </w:p>
    <w:p>
      <w:pPr>
        <w:pStyle w:val="Heading2"/>
      </w:pPr>
      <w:r>
        <w:t>Measurement and acceptance</w:t>
      </w:r>
    </w:p>
    <w:p>
      <w:r>
        <w:t>Measures: Demonstrated competence; workplace application; project milestones; verified project outcomes where available.</w:t>
      </w:r>
    </w:p>
    <w:p>
      <w:r>
        <w:t>Completion: Agreed exercises and application evidence are reviewed; completion criteria are transparent.</w:t>
      </w:r>
    </w:p>
    <w:p>
      <w:pPr>
        <w:pStyle w:val="Heading2"/>
      </w:pPr>
      <w:r>
        <w:t>Client inputs and application</w:t>
      </w:r>
    </w:p>
    <w:p>
      <w:r>
        <w:t>Participant prerequisites, attendance commitment, sponsor support and approved workplace data.</w:t>
      </w:r>
    </w:p>
    <w:p>
      <w:r>
        <w:t>Illustrative application: Options include work measurement, line balancing, 5S, A3, DMAIC, statistical quality tools and project planning.</w:t>
      </w:r>
    </w:p>
    <w:p>
      <w:pPr>
        <w:pStyle w:val="Heading2"/>
      </w:pPr>
      <w:r>
        <w:t>Scope conditions and benchmark</w:t>
      </w:r>
    </w:p>
    <w:p>
      <w:r>
        <w:t>Issue ITQAN completion records accurately. Do not imply ASQ or PMI authorization, endorsement or professional certification.</w:t>
      </w:r>
    </w:p>
    <w:p>
      <w:r>
        <w:t>Published service references: R6 R16. See the benchmark register. Timelines and scope are ITQAN proposals.</w:t>
      </w:r>
    </w:p>
    <w:p>
      <w:r>
        <w:br w:type="page"/>
      </w:r>
    </w:p>
    <w:p>
      <w:pPr>
        <w:pStyle w:val="Heading1"/>
      </w:pPr>
      <w:r>
        <w:t>Engagement and benefit verification</w:t>
      </w:r>
    </w:p>
    <w:p>
      <w:pPr>
        <w:pStyle w:val="Heading2"/>
      </w:pPr>
      <w:r>
        <w:t>A consistent implementation method</w:t>
      </w:r>
    </w:p>
    <w:p>
      <w:r>
        <w:t>Agree the problem and scope; validate the baseline; investigate causes; pilot approved changes; verify results; transfer ownership; review sustainment. Each stage ends with a short review of evidence, decisions and outstanding dependencies.</w:t>
      </w:r>
    </w:p>
    <w:p>
      <w:pPr>
        <w:pStyle w:val="Heading2"/>
      </w:pPr>
      <w:r>
        <w:t>Benefits must be classified correctly</w:t>
      </w:r>
    </w:p>
    <w:tbl>
      <w:tblPr>
        <w:tblW w:type="auto" w:w="0"/>
        <w:tblLayout w:type="fixed"/>
        <w:tblLook w:firstColumn="1" w:firstRow="1" w:lastColumn="0" w:lastRow="0" w:noHBand="0" w:noVBand="1" w:val="04A0"/>
      </w:tblPr>
      <w:tblGrid>
        <w:gridCol w:w="5040"/>
        <w:gridCol w:w="5040"/>
      </w:tblGrid>
      <w:tr>
        <w:trPr>
          <w:tblHeader/>
        </w:trPr>
        <w:tc>
          <w:tcPr>
            <w:tcW w:type="dxa" w:w="5040"/>
            <w:tcBorders>
              <w:top w:val="single" w:sz="4" w:color="D9D9D9"/>
              <w:left w:val="single" w:sz="4" w:color="D9D9D9"/>
              <w:bottom w:val="single" w:sz="4" w:color="D9D9D9"/>
              <w:right w:val="single" w:sz="4" w:color="D9D9D9"/>
            </w:tcBorders>
            <w:shd w:fill="17354A"/>
          </w:tcPr>
          <w:p>
            <w:r>
              <w:rPr>
                <w:b/>
                <w:color w:val="FFFFFF"/>
                <w:sz w:val="18"/>
              </w:rPr>
              <w:t>Benefit</w:t>
            </w:r>
          </w:p>
        </w:tc>
        <w:tc>
          <w:tcPr>
            <w:tcW w:type="dxa" w:w="5040"/>
            <w:tcBorders>
              <w:top w:val="single" w:sz="4" w:color="D9D9D9"/>
              <w:left w:val="single" w:sz="4" w:color="D9D9D9"/>
              <w:bottom w:val="single" w:sz="4" w:color="D9D9D9"/>
              <w:right w:val="single" w:sz="4" w:color="D9D9D9"/>
            </w:tcBorders>
            <w:shd w:fill="17354A"/>
          </w:tcPr>
          <w:p>
            <w:r>
              <w:rPr>
                <w:b/>
                <w:color w:val="FFFFFF"/>
                <w:sz w:val="18"/>
              </w:rPr>
              <w:t>Verification basis</w:t>
            </w:r>
          </w:p>
        </w:tc>
      </w:tr>
      <w:tr>
        <w:tc>
          <w:tcPr>
            <w:tcW w:type="dxa" w:w="5040"/>
            <w:tcBorders>
              <w:top w:val="single" w:sz="4" w:color="D9D9D9"/>
              <w:left w:val="single" w:sz="4" w:color="D9D9D9"/>
              <w:bottom w:val="single" w:sz="4" w:color="D9D9D9"/>
              <w:right w:val="single" w:sz="4" w:color="D9D9D9"/>
            </w:tcBorders>
            <w:shd w:fill="F1F4F6"/>
          </w:tcPr>
          <w:p>
            <w:r>
              <w:rPr>
                <w:b w:val="0"/>
                <w:color w:val="000000"/>
                <w:sz w:val="18"/>
              </w:rPr>
              <w:t>Realized cash savings</w:t>
            </w:r>
          </w:p>
        </w:tc>
        <w:tc>
          <w:tcPr>
            <w:tcW w:type="dxa" w:w="5040"/>
            <w:tcBorders>
              <w:top w:val="single" w:sz="4" w:color="D9D9D9"/>
              <w:left w:val="single" w:sz="4" w:color="D9D9D9"/>
              <w:bottom w:val="single" w:sz="4" w:color="D9D9D9"/>
              <w:right w:val="single" w:sz="4" w:color="D9D9D9"/>
            </w:tcBorders>
            <w:shd w:fill="F1F4F6"/>
          </w:tcPr>
          <w:p>
            <w:r>
              <w:rPr>
                <w:b w:val="0"/>
                <w:color w:val="000000"/>
                <w:sz w:val="18"/>
              </w:rPr>
              <w:t>Actual expenditure reduced, adjusted for volume, price and other relevant changes.</w:t>
            </w:r>
          </w:p>
        </w:tc>
      </w:tr>
      <w:tr>
        <w:tc>
          <w:tcPr>
            <w:tcW w:type="dxa" w:w="5040"/>
            <w:tcBorders>
              <w:top w:val="single" w:sz="4" w:color="D9D9D9"/>
              <w:left w:val="single" w:sz="4" w:color="D9D9D9"/>
              <w:bottom w:val="single" w:sz="4" w:color="D9D9D9"/>
              <w:right w:val="single" w:sz="4" w:color="D9D9D9"/>
            </w:tcBorders>
            <w:shd w:fill="FFFFFF"/>
          </w:tcPr>
          <w:p>
            <w:r>
              <w:rPr>
                <w:b w:val="0"/>
                <w:color w:val="000000"/>
                <w:sz w:val="18"/>
              </w:rPr>
              <w:t>Released capacity</w:t>
            </w:r>
          </w:p>
        </w:tc>
        <w:tc>
          <w:tcPr>
            <w:tcW w:type="dxa" w:w="5040"/>
            <w:tcBorders>
              <w:top w:val="single" w:sz="4" w:color="D9D9D9"/>
              <w:left w:val="single" w:sz="4" w:color="D9D9D9"/>
              <w:bottom w:val="single" w:sz="4" w:color="D9D9D9"/>
              <w:right w:val="single" w:sz="4" w:color="D9D9D9"/>
            </w:tcBorders>
            <w:shd w:fill="FFFFFF"/>
          </w:tcPr>
          <w:p>
            <w:r>
              <w:rPr>
                <w:b w:val="0"/>
                <w:color w:val="000000"/>
                <w:sz w:val="18"/>
              </w:rPr>
              <w:t>Hours or equipment time freed. State how the organization uses that capacity.</w:t>
            </w:r>
          </w:p>
        </w:tc>
      </w:tr>
      <w:tr>
        <w:tc>
          <w:tcPr>
            <w:tcW w:type="dxa" w:w="5040"/>
            <w:tcBorders>
              <w:top w:val="single" w:sz="4" w:color="D9D9D9"/>
              <w:left w:val="single" w:sz="4" w:color="D9D9D9"/>
              <w:bottom w:val="single" w:sz="4" w:color="D9D9D9"/>
              <w:right w:val="single" w:sz="4" w:color="D9D9D9"/>
            </w:tcBorders>
            <w:shd w:fill="F1F4F6"/>
          </w:tcPr>
          <w:p>
            <w:r>
              <w:rPr>
                <w:b w:val="0"/>
                <w:color w:val="000000"/>
                <w:sz w:val="18"/>
              </w:rPr>
              <w:t>Cost avoidance</w:t>
            </w:r>
          </w:p>
        </w:tc>
        <w:tc>
          <w:tcPr>
            <w:tcW w:type="dxa" w:w="5040"/>
            <w:tcBorders>
              <w:top w:val="single" w:sz="4" w:color="D9D9D9"/>
              <w:left w:val="single" w:sz="4" w:color="D9D9D9"/>
              <w:bottom w:val="single" w:sz="4" w:color="D9D9D9"/>
              <w:right w:val="single" w:sz="4" w:color="D9D9D9"/>
            </w:tcBorders>
            <w:shd w:fill="F1F4F6"/>
          </w:tcPr>
          <w:p>
            <w:r>
              <w:rPr>
                <w:b w:val="0"/>
                <w:color w:val="000000"/>
                <w:sz w:val="18"/>
              </w:rPr>
              <w:t>Future expenditure no longer required. Retain the approved counterfactual and assumptions.</w:t>
            </w:r>
          </w:p>
        </w:tc>
      </w:tr>
      <w:tr>
        <w:tc>
          <w:tcPr>
            <w:tcW w:type="dxa" w:w="5040"/>
            <w:tcBorders>
              <w:top w:val="single" w:sz="4" w:color="D9D9D9"/>
              <w:left w:val="single" w:sz="4" w:color="D9D9D9"/>
              <w:bottom w:val="single" w:sz="4" w:color="D9D9D9"/>
              <w:right w:val="single" w:sz="4" w:color="D9D9D9"/>
            </w:tcBorders>
            <w:shd w:fill="FFFFFF"/>
          </w:tcPr>
          <w:p>
            <w:r>
              <w:rPr>
                <w:b w:val="0"/>
                <w:color w:val="000000"/>
                <w:sz w:val="18"/>
              </w:rPr>
              <w:t>Working capital release</w:t>
            </w:r>
          </w:p>
        </w:tc>
        <w:tc>
          <w:tcPr>
            <w:tcW w:type="dxa" w:w="5040"/>
            <w:tcBorders>
              <w:top w:val="single" w:sz="4" w:color="D9D9D9"/>
              <w:left w:val="single" w:sz="4" w:color="D9D9D9"/>
              <w:bottom w:val="single" w:sz="4" w:color="D9D9D9"/>
              <w:right w:val="single" w:sz="4" w:color="D9D9D9"/>
            </w:tcBorders>
            <w:shd w:fill="FFFFFF"/>
          </w:tcPr>
          <w:p>
            <w:r>
              <w:rPr>
                <w:b w:val="0"/>
                <w:color w:val="000000"/>
                <w:sz w:val="18"/>
              </w:rPr>
              <w:t>Inventory or receivables reduction assessed separately from recurring operating savings.</w:t>
            </w:r>
          </w:p>
        </w:tc>
      </w:tr>
      <w:tr>
        <w:tc>
          <w:tcPr>
            <w:tcW w:type="dxa" w:w="5040"/>
            <w:tcBorders>
              <w:top w:val="single" w:sz="4" w:color="D9D9D9"/>
              <w:left w:val="single" w:sz="4" w:color="D9D9D9"/>
              <w:bottom w:val="single" w:sz="4" w:color="D9D9D9"/>
              <w:right w:val="single" w:sz="4" w:color="D9D9D9"/>
            </w:tcBorders>
            <w:shd w:fill="F1F4F6"/>
          </w:tcPr>
          <w:p>
            <w:r>
              <w:rPr>
                <w:b w:val="0"/>
                <w:color w:val="000000"/>
                <w:sz w:val="18"/>
              </w:rPr>
              <w:t>Service or quality improvement</w:t>
            </w:r>
          </w:p>
        </w:tc>
        <w:tc>
          <w:tcPr>
            <w:tcW w:type="dxa" w:w="5040"/>
            <w:tcBorders>
              <w:top w:val="single" w:sz="4" w:color="D9D9D9"/>
              <w:left w:val="single" w:sz="4" w:color="D9D9D9"/>
              <w:bottom w:val="single" w:sz="4" w:color="D9D9D9"/>
              <w:right w:val="single" w:sz="4" w:color="D9D9D9"/>
            </w:tcBorders>
            <w:shd w:fill="F1F4F6"/>
          </w:tcPr>
          <w:p>
            <w:r>
              <w:rPr>
                <w:b w:val="0"/>
                <w:color w:val="000000"/>
                <w:sz w:val="18"/>
              </w:rPr>
              <w:t>Verified improvement in defined customer or process measures; monetize only with a defensible basis.</w:t>
            </w:r>
          </w:p>
        </w:tc>
      </w:tr>
    </w:tbl>
    <w:p>
      <w:pPr>
        <w:pStyle w:val="Heading2"/>
      </w:pPr>
      <w:r>
        <w:t>Baseline and target agreement</w:t>
      </w:r>
    </w:p>
    <w:p>
      <w:r>
        <w:t>Agree the metric definition, source, measurement period, process boundaries and case or product mix. Select a verification period that provides sufficient observations. Record changes in demand, staffing, prices and operating conditions. Finance or the designated client owner validates monetary claims. Avoid double counting the same improvement across projects.</w:t>
      </w:r>
    </w:p>
    <w:p>
      <w:pPr>
        <w:pStyle w:val="Heading2"/>
      </w:pPr>
      <w:r>
        <w:t>Scope and commercial terms</w:t>
      </w:r>
    </w:p>
    <w:p>
      <w:r>
        <w:t>Every proposal defines sites, shifts, processes, deliverables, review cycles, client responsibilities, consulting days, travel, specialist inputs and implementation costs. Equipment, software, testing and client implementation labor are identified separately. Added processes or materially changed requirements follow written change control.</w:t>
      </w:r>
    </w:p>
    <w:p>
      <w:pPr>
        <w:pStyle w:val="Heading2"/>
      </w:pPr>
      <w:r>
        <w:t>Handover</w:t>
      </w:r>
    </w:p>
    <w:p>
      <w:r>
        <w:t>Completion includes approved outputs, trained owners, accessible records, monitoring definitions and response rules. Any follow-up review has a specified date and scope. Service targets are agreed after assessment and are not universal guarantees.</w:t>
      </w:r>
    </w:p>
    <w:p>
      <w:r>
        <w:br w:type="page"/>
      </w:r>
    </w:p>
    <w:p>
      <w:pPr>
        <w:pStyle w:val="Heading1"/>
      </w:pPr>
      <w:r>
        <w:t>Benchmark register</w:t>
      </w:r>
    </w:p>
    <w:p>
      <w:r>
        <w:t>The sources below support the existence of the service categories. They do not endorse ITQAN, establish competitor prices or prove ITQAN project results. Provider examples are selective rather than a comprehensive ranking. Source basis compiled 20 October 2026 from published provider and professional-body material.</w:t>
      </w:r>
    </w:p>
    <w:p>
      <w:r>
        <w:rPr>
          <w:b/>
        </w:rPr>
        <w:t xml:space="preserve">R1  PMC  </w:t>
      </w:r>
      <w:r>
        <w:t>Industrial Engineering productivity and work measurement</w:t>
        <w:br/>
      </w:r>
      <w:r>
        <w:rPr>
          <w:sz w:val="16"/>
        </w:rPr>
        <w:t>https://pmcorp.com/blog/enhancing-employee-productivity-through-industrial-engineering-consulting/</w:t>
      </w:r>
    </w:p>
    <w:p>
      <w:r>
        <w:rPr>
          <w:b/>
        </w:rPr>
        <w:t xml:space="preserve">R2  First Key Consulting  </w:t>
      </w:r>
      <w:r>
        <w:t>Time studies capacity and facility layout</w:t>
        <w:br/>
      </w:r>
      <w:r>
        <w:rPr>
          <w:sz w:val="16"/>
        </w:rPr>
        <w:t>https://firstkey.com/consulting-services/sustainability-and-supply-chain/industrial-engineering-and-business-process-management/</w:t>
      </w:r>
    </w:p>
    <w:p>
      <w:r>
        <w:rPr>
          <w:b/>
        </w:rPr>
        <w:t xml:space="preserve">R3  TBM Consulting  </w:t>
      </w:r>
      <w:r>
        <w:t>Assessment and implementation approach</w:t>
        <w:br/>
      </w:r>
      <w:r>
        <w:rPr>
          <w:sz w:val="16"/>
        </w:rPr>
        <w:t>https://tbmcg.co.uk/apporach/</w:t>
      </w:r>
    </w:p>
    <w:p>
      <w:r>
        <w:rPr>
          <w:b/>
        </w:rPr>
        <w:t xml:space="preserve">R4  Kaizen Institute  </w:t>
      </w:r>
      <w:r>
        <w:t>Operations consulting across manufacturing supply chain and services</w:t>
        <w:br/>
      </w:r>
      <w:r>
        <w:rPr>
          <w:sz w:val="16"/>
        </w:rPr>
        <w:t>https://kaizen.com/consulting/operations/</w:t>
      </w:r>
    </w:p>
    <w:p>
      <w:r>
        <w:rPr>
          <w:b/>
        </w:rPr>
        <w:t xml:space="preserve">R5  Mayo Clinic Management Engineering and Consulting  </w:t>
      </w:r>
      <w:r>
        <w:t>Service process and queue improvement case studies</w:t>
        <w:br/>
      </w:r>
      <w:r>
        <w:rPr>
          <w:sz w:val="16"/>
        </w:rPr>
        <w:t>https://managementengineeringandconsulting.mayoclinic.org/case-studies/</w:t>
      </w:r>
    </w:p>
    <w:p>
      <w:r>
        <w:rPr>
          <w:b/>
        </w:rPr>
        <w:t xml:space="preserve">R6  Kaizen Institute  </w:t>
      </w:r>
      <w:r>
        <w:t>Lean Six Sigma consulting</w:t>
        <w:br/>
      </w:r>
      <w:r>
        <w:rPr>
          <w:sz w:val="16"/>
        </w:rPr>
        <w:t>https://kaizen.com/consulting/lean-six-sigma/</w:t>
      </w:r>
    </w:p>
    <w:p>
      <w:r>
        <w:rPr>
          <w:b/>
        </w:rPr>
        <w:t xml:space="preserve">R7  ASQ  </w:t>
      </w:r>
      <w:r>
        <w:t>Six Sigma belt roles and DMAIC competence</w:t>
        <w:br/>
      </w:r>
      <w:r>
        <w:rPr>
          <w:sz w:val="16"/>
        </w:rPr>
        <w:t>https://asq.org/quality-resources/sixsigma/belts-executives-champions</w:t>
      </w:r>
    </w:p>
    <w:p>
      <w:r>
        <w:rPr>
          <w:b/>
        </w:rPr>
        <w:t xml:space="preserve">R8  Kaizen Institute  </w:t>
      </w:r>
      <w:r>
        <w:t>Manufacturing operations standard work and quality</w:t>
        <w:br/>
      </w:r>
      <w:r>
        <w:rPr>
          <w:sz w:val="16"/>
        </w:rPr>
        <w:t>https://kaizen.com/consulting/manufacturing-operations/</w:t>
      </w:r>
    </w:p>
    <w:p>
      <w:r>
        <w:rPr>
          <w:b/>
        </w:rPr>
        <w:t xml:space="preserve">R9  Gemba Technical Consulting  </w:t>
      </w:r>
      <w:r>
        <w:t>Industrial Engineering constraint analysis and standard work</w:t>
        <w:br/>
      </w:r>
      <w:r>
        <w:rPr>
          <w:sz w:val="16"/>
        </w:rPr>
        <w:t>https://gembatechnical.com/services</w:t>
      </w:r>
    </w:p>
    <w:p>
      <w:r>
        <w:rPr>
          <w:b/>
        </w:rPr>
        <w:t xml:space="preserve">R10  TBM Consulting  </w:t>
      </w:r>
      <w:r>
        <w:t>Published operational excellence and supply chain practice</w:t>
        <w:br/>
      </w:r>
      <w:r>
        <w:rPr>
          <w:sz w:val="16"/>
        </w:rPr>
        <w:t>https://tbmcg.com/available-positions/senior-management-consultant/</w:t>
      </w:r>
    </w:p>
    <w:p>
      <w:r>
        <w:rPr>
          <w:b/>
        </w:rPr>
        <w:t xml:space="preserve">R11  TBM Consulting  </w:t>
      </w:r>
      <w:r>
        <w:t>Management system implementation case study</w:t>
        <w:br/>
      </w:r>
      <w:r>
        <w:rPr>
          <w:sz w:val="16"/>
        </w:rPr>
        <w:t>https://tbmcg.co.uk/case-study/pharmaceutical-manufacturer-uses-management-system-for-growth-uk/</w:t>
      </w:r>
    </w:p>
    <w:p>
      <w:r>
        <w:rPr>
          <w:b/>
        </w:rPr>
        <w:t xml:space="preserve">R12  PM Solutions  </w:t>
      </w:r>
      <w:r>
        <w:t>Management consulting and project program services</w:t>
        <w:br/>
      </w:r>
      <w:r>
        <w:rPr>
          <w:sz w:val="16"/>
        </w:rPr>
        <w:t>https://www.pmsolutions.com/management-consulting-services</w:t>
      </w:r>
    </w:p>
    <w:p>
      <w:r>
        <w:rPr>
          <w:b/>
        </w:rPr>
        <w:t xml:space="preserve">R13  PMI  </w:t>
      </w:r>
      <w:r>
        <w:t>PMP professional capability context</w:t>
        <w:br/>
      </w:r>
      <w:r>
        <w:rPr>
          <w:sz w:val="16"/>
        </w:rPr>
        <w:t>https://www.pmi.org/certifications/project-management-pmp</w:t>
      </w:r>
    </w:p>
    <w:p>
      <w:r>
        <w:rPr>
          <w:b/>
        </w:rPr>
        <w:t xml:space="preserve">R14  PM Solutions  </w:t>
      </w:r>
      <w:r>
        <w:t>Troubled project recovery cases</w:t>
        <w:br/>
      </w:r>
      <w:r>
        <w:rPr>
          <w:sz w:val="16"/>
        </w:rPr>
        <w:t>https://www.pmsolutions.com/case-studies/category/troubled-project-recovery/</w:t>
      </w:r>
    </w:p>
    <w:p>
      <w:r>
        <w:rPr>
          <w:b/>
        </w:rPr>
        <w:t xml:space="preserve">R15  PM Solutions  </w:t>
      </w:r>
      <w:r>
        <w:t>PMO and project management as a service practice</w:t>
        <w:br/>
      </w:r>
      <w:r>
        <w:rPr>
          <w:sz w:val="16"/>
        </w:rPr>
        <w:t>https://www.pmsolutions.com/insights/</w:t>
      </w:r>
    </w:p>
    <w:p>
      <w:r>
        <w:rPr>
          <w:b/>
        </w:rPr>
        <w:t xml:space="preserve">R16  ASQ  </w:t>
      </w:r>
      <w:r>
        <w:t>Lean Six Sigma training example</w:t>
        <w:br/>
      </w:r>
      <w:r>
        <w:rPr>
          <w:sz w:val="16"/>
        </w:rPr>
        <w:t>https://asq.org/training/lean-six-sigma-black-belt-transition-vlssbbt2025asq</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ITQAN  •  Service catalogue  •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ITQAN   |   INDUSTRIAL ENGINEERING AND MANAGEMENT CONSULTING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